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05D" w:rsidRPr="00BB7AAC" w:rsidRDefault="00BB7AAC" w:rsidP="00BB7AAC">
      <w:pPr>
        <w:jc w:val="center"/>
        <w:rPr>
          <w:b/>
          <w:lang w:val="el-GR"/>
        </w:rPr>
      </w:pPr>
      <w:r w:rsidRPr="00BB7AAC">
        <w:rPr>
          <w:b/>
          <w:lang w:val="el-GR"/>
        </w:rPr>
        <w:t>Τα μυστικά της εκκαθάρισης ασφαλιστικών εισφορών και οι αναδρομικές εισφορές των Συμβολαιογράφων</w:t>
      </w:r>
    </w:p>
    <w:p w:rsidR="00BB7AAC" w:rsidRDefault="00BB7AAC">
      <w:pPr>
        <w:rPr>
          <w:lang w:val="el-GR"/>
        </w:rPr>
      </w:pPr>
    </w:p>
    <w:p w:rsidR="00BB7AAC" w:rsidRDefault="00BB7AAC" w:rsidP="00BB7AAC">
      <w:pPr>
        <w:jc w:val="center"/>
        <w:rPr>
          <w:lang w:val="el-GR"/>
        </w:rPr>
      </w:pPr>
      <w:r>
        <w:rPr>
          <w:lang w:val="el-GR"/>
        </w:rPr>
        <w:t>Ανδρέα Π.Κουτσόλαμπρου, Δικηγόρου, Σύμβουλου ΔΣΑ, Συνεργάτη ΣΣΕΑΠΑΔ</w:t>
      </w:r>
    </w:p>
    <w:p w:rsidR="00BB7AAC" w:rsidRDefault="00BB7AAC" w:rsidP="00BB7AAC">
      <w:pPr>
        <w:jc w:val="center"/>
        <w:rPr>
          <w:lang w:val="el-GR"/>
        </w:rPr>
      </w:pPr>
    </w:p>
    <w:p w:rsidR="00BB7AAC" w:rsidRDefault="00BB7AAC" w:rsidP="00BB7AAC">
      <w:pPr>
        <w:jc w:val="both"/>
        <w:rPr>
          <w:lang w:val="el-GR"/>
        </w:rPr>
      </w:pPr>
      <w:r>
        <w:rPr>
          <w:lang w:val="el-GR"/>
        </w:rPr>
        <w:t xml:space="preserve">Σύμφωνα με πληροφορίες, </w:t>
      </w:r>
      <w:r w:rsidRPr="00BB7AAC">
        <w:rPr>
          <w:lang w:val="el-GR"/>
        </w:rPr>
        <w:t>η εκκαθάριση εισφορών 2018 θα λάβει χώρα το πρώτο τρίμηνο του 2019. Είναι προφανές πως η καθυστέρηση αυτή</w:t>
      </w:r>
      <w:r>
        <w:rPr>
          <w:lang w:val="el-GR"/>
        </w:rPr>
        <w:t xml:space="preserve">, διατηρεί το πρόβλημα με τα ειδοποιητήρια του 2018, το οποίο έχουν επισημάνει οι Επιστημονικοί Σύλλογοι, καθόσον συμπεριλαμβάνονται στη βάση υπολογισμού οι καταβληθείσες το 2016 ασφαλιστικές εισφορές και όχι οι κατά Νόμο καταβλητέες εισφορές του 2017. </w:t>
      </w:r>
    </w:p>
    <w:p w:rsidR="00BB7AAC" w:rsidRDefault="00BB7AAC" w:rsidP="00BB7AAC">
      <w:pPr>
        <w:jc w:val="both"/>
        <w:rPr>
          <w:lang w:val="el-GR"/>
        </w:rPr>
      </w:pPr>
      <w:r w:rsidRPr="00BB7AAC">
        <w:rPr>
          <w:lang w:val="el-GR"/>
        </w:rPr>
        <w:t xml:space="preserve">Παράλληλα αναμένεται η νομοθέτηση των μειώσεων των εισφορών, </w:t>
      </w:r>
      <w:r>
        <w:rPr>
          <w:lang w:val="el-GR"/>
        </w:rPr>
        <w:t>με τη μείωση της εισφοράς κύριας σύνταξης από 1.1.2019 σε 13,33%, για το άνω του κατωτάτου ορίου των 586,08 ευρώ μηνιαίου εισοδήματος, για το οποίο θα παραμείνει 20%. Από τη μείωση αυτή αναμένονται σημαντικές μειώσεις για όσους δηλώνουν υψηλά εισοδήματα, ενώ όσοι πληρώνουν με βάση τα κατώτατα όρια δεν θα έχουν καμία μείωση. Αντίστοιχα καμία μείωση δεν θα υπάρξει στην εισφορά υγειονομικής περίθαλψης (6,95%), ενώ διατηρούνται οι εκπτώσεις του άρθρου 98 Ν.4387/2016 μέχρι το 2020.</w:t>
      </w:r>
    </w:p>
    <w:p w:rsidR="00BB7AAC" w:rsidRPr="00BB7AAC" w:rsidRDefault="00BB7AAC" w:rsidP="00BB7AAC">
      <w:pPr>
        <w:jc w:val="both"/>
        <w:rPr>
          <w:lang w:val="el-GR"/>
        </w:rPr>
      </w:pPr>
      <w:r>
        <w:rPr>
          <w:lang w:val="el-GR"/>
        </w:rPr>
        <w:t xml:space="preserve">Παράλληλα αναμένεται </w:t>
      </w:r>
      <w:r w:rsidRPr="00BB7AAC">
        <w:rPr>
          <w:lang w:val="el-GR"/>
        </w:rPr>
        <w:t>και η επιβολή των αναδρομικών (από 1.1.2017 έως 31.12.2018) και τρεχουσών εισφορών επικουρικής και πρόνοιας (ΕΤΕΑΕΠ) από 1.1.2019.</w:t>
      </w:r>
    </w:p>
    <w:p w:rsidR="00BB7AAC" w:rsidRPr="00BB7AAC" w:rsidRDefault="00BB7AAC" w:rsidP="00BB7AAC">
      <w:pPr>
        <w:jc w:val="both"/>
        <w:rPr>
          <w:lang w:val="el-GR"/>
        </w:rPr>
      </w:pPr>
      <w:r w:rsidRPr="00BB7AAC">
        <w:rPr>
          <w:lang w:val="el-GR"/>
        </w:rPr>
        <w:t>Ως έχει ανακοινωθεί, όλοι οι ασφαλισμένοι θα πληρώνουν πάγιο ποσόν, το οποίο ισούται με τα ποσοστά ασφαλίστρων (7% και 4%)</w:t>
      </w:r>
      <w:r w:rsidRPr="00BB7AAC">
        <w:t> </w:t>
      </w:r>
      <w:r w:rsidRPr="00BB7AAC">
        <w:rPr>
          <w:lang w:val="el-GR"/>
        </w:rPr>
        <w:t xml:space="preserve"> επί της ελάχιστης μηνιαίας βάσης υπολογισμού των 586,08 ευρώ, ή 7.032,96 ευρώ. Αυτό αντιστοιχεί σε μηνιαία εισφορά 41,02 ευρώ για και</w:t>
      </w:r>
      <w:r w:rsidRPr="00BB7AAC">
        <w:t> </w:t>
      </w:r>
      <w:r w:rsidRPr="00BB7AAC">
        <w:rPr>
          <w:lang w:val="el-GR"/>
        </w:rPr>
        <w:t xml:space="preserve"> 23,44 ευρώ για πρόνοια</w:t>
      </w:r>
      <w:r>
        <w:rPr>
          <w:lang w:val="el-GR"/>
        </w:rPr>
        <w:t>.</w:t>
      </w:r>
    </w:p>
    <w:p w:rsidR="00BB7AAC" w:rsidRPr="00BB7AAC" w:rsidRDefault="00BB7AAC" w:rsidP="00BB7AAC">
      <w:pPr>
        <w:jc w:val="both"/>
        <w:rPr>
          <w:lang w:val="el-GR"/>
        </w:rPr>
      </w:pPr>
      <w:r w:rsidRPr="00BB7AAC">
        <w:rPr>
          <w:b/>
          <w:bCs/>
          <w:lang w:val="el-GR"/>
        </w:rPr>
        <w:t>ΣΗΜΕΙΩΣΗ: Όπως έχει διευκρινιστεί σε περίπτωση αύξησης του κατώτατου μισθού, τα ποσά αυτά θα αυξάνονται αντιστοίχως</w:t>
      </w:r>
      <w:r>
        <w:rPr>
          <w:b/>
          <w:bCs/>
          <w:lang w:val="el-GR"/>
        </w:rPr>
        <w:t>, όπως φυσικά και η κατώτατη εισφορά υπέρ ΕΦΚΑ.</w:t>
      </w:r>
    </w:p>
    <w:p w:rsidR="00BB7AAC" w:rsidRPr="00BB7AAC" w:rsidRDefault="00BB7AAC" w:rsidP="00BB7AAC">
      <w:pPr>
        <w:jc w:val="both"/>
        <w:rPr>
          <w:lang w:val="el-GR"/>
        </w:rPr>
      </w:pPr>
      <w:r w:rsidRPr="00BB7AAC">
        <w:rPr>
          <w:lang w:val="el-GR"/>
        </w:rPr>
        <w:t>Επιπλέον θα αρχίσει και η καταβολή των αναδρομικών (χρονικού διαστήματος από 1.1.2017 έως 31.12.2018).</w:t>
      </w:r>
    </w:p>
    <w:p w:rsidR="00BB7AAC" w:rsidRPr="00BB7AAC" w:rsidRDefault="00BB7AAC" w:rsidP="00BB7AAC">
      <w:pPr>
        <w:jc w:val="both"/>
        <w:rPr>
          <w:lang w:val="el-GR"/>
        </w:rPr>
      </w:pPr>
      <w:r w:rsidRPr="00BB7AAC">
        <w:t> </w:t>
      </w:r>
      <w:r w:rsidRPr="00BB7AAC">
        <w:rPr>
          <w:lang w:val="el-GR"/>
        </w:rPr>
        <w:t>Έκαστος από εμάς οφείλει για επικουρική 24 μήνες Χ 41,02 = 984,48 ευρώ και για πρόνοια 24 μήνες Χ 23,44 = 562,56 ευρώ, το οποίο θα καταβάλλεται μαζί με την τρέχουσα εισφορά σε 36 δόσεις, άρα θα προσθέτουμε επί 36 μήνες ένα ποσόν 27,35 (984,48:36) για επικουρική και επιπλέον ένα ποσόν 15,63 ευρώ (562,56 : 36)</w:t>
      </w:r>
      <w:r>
        <w:rPr>
          <w:lang w:val="el-GR"/>
        </w:rPr>
        <w:t xml:space="preserve"> για πρόνοια</w:t>
      </w:r>
      <w:r w:rsidRPr="00BB7AAC">
        <w:rPr>
          <w:lang w:val="el-GR"/>
        </w:rPr>
        <w:t>.</w:t>
      </w:r>
    </w:p>
    <w:p w:rsidR="00BB7AAC" w:rsidRPr="00BB7AAC" w:rsidRDefault="00BB7AAC" w:rsidP="00BB7AAC">
      <w:pPr>
        <w:jc w:val="both"/>
        <w:rPr>
          <w:lang w:val="el-GR"/>
        </w:rPr>
      </w:pPr>
      <w:r w:rsidRPr="00BB7AAC">
        <w:rPr>
          <w:lang w:val="el-GR"/>
        </w:rPr>
        <w:t>Συνοψίζοντας αναμένουμε ένα νέο ειδοποιητήριο ΕΤΕΑΕΠ (άρα πρόσθετη τραπεζική προμήθεια κατά την πληρωμή) από 1.1.2019 που για 36 μήνες, (με την επιφύλαξη της αύξησης του κατώτατου μισθού) θα ανέρχεται ως εξής:</w:t>
      </w:r>
    </w:p>
    <w:p w:rsidR="00BB7AAC" w:rsidRDefault="00BB7AAC" w:rsidP="00BB7AAC">
      <w:pPr>
        <w:jc w:val="both"/>
        <w:rPr>
          <w:lang w:val="el-GR"/>
        </w:rPr>
      </w:pPr>
    </w:p>
    <w:p w:rsidR="00BB7AAC" w:rsidRDefault="00BB7AAC" w:rsidP="00BB7AAC">
      <w:pPr>
        <w:jc w:val="both"/>
        <w:rPr>
          <w:lang w:val="el-GR"/>
        </w:rPr>
      </w:pPr>
    </w:p>
    <w:p w:rsidR="00BB7AAC" w:rsidRDefault="00BB7AAC" w:rsidP="00BB7AAC">
      <w:pPr>
        <w:jc w:val="both"/>
        <w:rPr>
          <w:lang w:val="el-GR"/>
        </w:rPr>
      </w:pPr>
    </w:p>
    <w:p w:rsidR="00BB7AAC" w:rsidRPr="00BB7AAC" w:rsidRDefault="00BB7AAC" w:rsidP="00BB7AAC">
      <w:pPr>
        <w:jc w:val="both"/>
        <w:rPr>
          <w:lang w:val="el-GR"/>
        </w:rPr>
      </w:pPr>
    </w:p>
    <w:tbl>
      <w:tblPr>
        <w:tblW w:w="9062" w:type="dxa"/>
        <w:tblCellMar>
          <w:left w:w="0" w:type="dxa"/>
          <w:right w:w="0" w:type="dxa"/>
        </w:tblCellMar>
        <w:tblLook w:val="04A0"/>
      </w:tblPr>
      <w:tblGrid>
        <w:gridCol w:w="4243"/>
        <w:gridCol w:w="4819"/>
      </w:tblGrid>
      <w:tr w:rsidR="00735BC3" w:rsidRPr="00057410" w:rsidTr="00735BC3">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Pr="00BB7AAC" w:rsidRDefault="00735BC3" w:rsidP="00BB7AAC">
            <w:pPr>
              <w:jc w:val="both"/>
              <w:divId w:val="1287158993"/>
              <w:rPr>
                <w:lang w:val="el-GR"/>
              </w:rPr>
            </w:pPr>
          </w:p>
        </w:tc>
        <w:tc>
          <w:tcPr>
            <w:tcW w:w="48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Default="00735BC3" w:rsidP="00735BC3">
            <w:pPr>
              <w:jc w:val="center"/>
              <w:rPr>
                <w:lang w:val="el-GR"/>
              </w:rPr>
            </w:pPr>
            <w:r>
              <w:rPr>
                <w:lang w:val="el-GR"/>
              </w:rPr>
              <w:t>ΣΥΜΒΟΛΑΙΟΓΡΑΦΟΙ</w:t>
            </w:r>
          </w:p>
          <w:p w:rsidR="00735BC3" w:rsidRPr="00BB7AAC" w:rsidRDefault="00735BC3" w:rsidP="00735BC3">
            <w:pPr>
              <w:jc w:val="center"/>
              <w:rPr>
                <w:lang w:val="el-GR"/>
              </w:rPr>
            </w:pPr>
            <w:r>
              <w:rPr>
                <w:lang w:val="el-GR"/>
              </w:rPr>
              <w:t>(ΔΙΚΗΓΟΡΟΙ ΑΘΗΝΩΝ, ΜΗΧΑΝΙΚΟΙ, ΔΙΚ.ΕΠΙΜΕΛΗΤΕΣ)</w:t>
            </w:r>
          </w:p>
        </w:tc>
      </w:tr>
      <w:tr w:rsidR="00735BC3" w:rsidRPr="00BB7AAC" w:rsidTr="00735BC3">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Pr="00BB7AAC" w:rsidRDefault="00735BC3" w:rsidP="00BB7AAC">
            <w:pPr>
              <w:jc w:val="both"/>
              <w:rPr>
                <w:lang w:val="el-GR"/>
              </w:rPr>
            </w:pPr>
          </w:p>
          <w:p w:rsidR="00735BC3" w:rsidRPr="00BB7AAC" w:rsidRDefault="00735BC3" w:rsidP="00BB7AAC">
            <w:pPr>
              <w:jc w:val="both"/>
            </w:pPr>
            <w:r w:rsidRPr="00BB7AAC">
              <w:rPr>
                <w:lang w:val="el-GR"/>
              </w:rPr>
              <w:t>ΕΙΣΦΟΡΑ ΕΠΙΚΟΥΡΙΚΗΣ</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35BC3" w:rsidRPr="00BB7AAC" w:rsidRDefault="00735BC3" w:rsidP="00735BC3">
            <w:pPr>
              <w:jc w:val="right"/>
            </w:pPr>
          </w:p>
          <w:p w:rsidR="00735BC3" w:rsidRPr="00BB7AAC" w:rsidRDefault="00735BC3" w:rsidP="00735BC3">
            <w:pPr>
              <w:jc w:val="right"/>
            </w:pPr>
            <w:r w:rsidRPr="00BB7AAC">
              <w:rPr>
                <w:lang w:val="el-GR"/>
              </w:rPr>
              <w:t>41,02</w:t>
            </w:r>
          </w:p>
        </w:tc>
      </w:tr>
      <w:tr w:rsidR="00735BC3" w:rsidRPr="00BB7AAC" w:rsidTr="00735BC3">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Pr="00BB7AAC" w:rsidRDefault="00735BC3" w:rsidP="00BB7AAC">
            <w:pPr>
              <w:jc w:val="both"/>
            </w:pPr>
          </w:p>
          <w:p w:rsidR="00735BC3" w:rsidRPr="00BB7AAC" w:rsidRDefault="00735BC3" w:rsidP="00BB7AAC">
            <w:pPr>
              <w:jc w:val="both"/>
            </w:pPr>
            <w:r w:rsidRPr="00BB7AAC">
              <w:rPr>
                <w:lang w:val="el-GR"/>
              </w:rPr>
              <w:t>ΑΝΑΔΡΟΜΙΚΑ</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35BC3" w:rsidRPr="00BB7AAC" w:rsidRDefault="00735BC3" w:rsidP="00735BC3">
            <w:pPr>
              <w:jc w:val="right"/>
            </w:pPr>
          </w:p>
          <w:p w:rsidR="00735BC3" w:rsidRPr="00BB7AAC" w:rsidRDefault="00735BC3" w:rsidP="00735BC3">
            <w:pPr>
              <w:jc w:val="right"/>
            </w:pPr>
            <w:r w:rsidRPr="00BB7AAC">
              <w:rPr>
                <w:lang w:val="el-GR"/>
              </w:rPr>
              <w:t>27,35</w:t>
            </w:r>
          </w:p>
        </w:tc>
      </w:tr>
      <w:tr w:rsidR="00735BC3" w:rsidRPr="00BB7AAC" w:rsidTr="00735BC3">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Pr="00BB7AAC" w:rsidRDefault="00735BC3" w:rsidP="00BB7AAC">
            <w:pPr>
              <w:jc w:val="both"/>
            </w:pPr>
          </w:p>
          <w:p w:rsidR="00735BC3" w:rsidRPr="00BB7AAC" w:rsidRDefault="00735BC3" w:rsidP="00BB7AAC">
            <w:pPr>
              <w:jc w:val="both"/>
            </w:pPr>
            <w:r w:rsidRPr="00BB7AAC">
              <w:rPr>
                <w:lang w:val="el-GR"/>
              </w:rPr>
              <w:t>ΕΙΣΦΟΡΑ ΠΡΟΝΟΙΑΣ</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35BC3" w:rsidRPr="00BB7AAC" w:rsidRDefault="00735BC3" w:rsidP="00735BC3">
            <w:pPr>
              <w:jc w:val="right"/>
            </w:pPr>
          </w:p>
          <w:p w:rsidR="00735BC3" w:rsidRPr="00BB7AAC" w:rsidRDefault="00735BC3" w:rsidP="00735BC3">
            <w:pPr>
              <w:jc w:val="right"/>
            </w:pPr>
            <w:r w:rsidRPr="00BB7AAC">
              <w:rPr>
                <w:lang w:val="el-GR"/>
              </w:rPr>
              <w:t>23,44</w:t>
            </w:r>
          </w:p>
        </w:tc>
      </w:tr>
      <w:tr w:rsidR="00735BC3" w:rsidRPr="00BB7AAC" w:rsidTr="00735BC3">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Pr="00BB7AAC" w:rsidRDefault="00735BC3" w:rsidP="00BB7AAC">
            <w:pPr>
              <w:jc w:val="both"/>
            </w:pPr>
          </w:p>
          <w:p w:rsidR="00735BC3" w:rsidRPr="00BB7AAC" w:rsidRDefault="00735BC3" w:rsidP="00BB7AAC">
            <w:pPr>
              <w:jc w:val="both"/>
            </w:pPr>
            <w:r w:rsidRPr="00BB7AAC">
              <w:rPr>
                <w:lang w:val="el-GR"/>
              </w:rPr>
              <w:t>ΑΝΑΔΡΟΜΙΚΑ</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35BC3" w:rsidRPr="00BB7AAC" w:rsidRDefault="00735BC3" w:rsidP="00735BC3">
            <w:pPr>
              <w:jc w:val="right"/>
            </w:pPr>
          </w:p>
          <w:p w:rsidR="00735BC3" w:rsidRPr="00BB7AAC" w:rsidRDefault="00735BC3" w:rsidP="00735BC3">
            <w:pPr>
              <w:jc w:val="right"/>
            </w:pPr>
            <w:r w:rsidRPr="00BB7AAC">
              <w:rPr>
                <w:lang w:val="el-GR"/>
              </w:rPr>
              <w:t>15,63</w:t>
            </w:r>
          </w:p>
        </w:tc>
      </w:tr>
      <w:tr w:rsidR="00735BC3" w:rsidRPr="00BB7AAC" w:rsidTr="00735BC3">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5BC3" w:rsidRPr="00BB7AAC" w:rsidRDefault="00735BC3" w:rsidP="00BB7AAC">
            <w:pPr>
              <w:jc w:val="both"/>
            </w:pPr>
          </w:p>
          <w:p w:rsidR="00735BC3" w:rsidRPr="00BB7AAC" w:rsidRDefault="00735BC3" w:rsidP="00BB7AAC">
            <w:pPr>
              <w:jc w:val="both"/>
            </w:pPr>
            <w:r w:rsidRPr="00BB7AAC">
              <w:rPr>
                <w:b/>
                <w:bCs/>
                <w:lang w:val="el-GR"/>
              </w:rPr>
              <w:t>ΣΥΝΟΛΟ</w:t>
            </w:r>
          </w:p>
        </w:tc>
        <w:tc>
          <w:tcPr>
            <w:tcW w:w="4819" w:type="dxa"/>
            <w:tcBorders>
              <w:top w:val="nil"/>
              <w:left w:val="nil"/>
              <w:bottom w:val="single" w:sz="8" w:space="0" w:color="auto"/>
              <w:right w:val="single" w:sz="8" w:space="0" w:color="auto"/>
            </w:tcBorders>
            <w:tcMar>
              <w:top w:w="0" w:type="dxa"/>
              <w:left w:w="108" w:type="dxa"/>
              <w:bottom w:w="0" w:type="dxa"/>
              <w:right w:w="108" w:type="dxa"/>
            </w:tcMar>
            <w:hideMark/>
          </w:tcPr>
          <w:p w:rsidR="00735BC3" w:rsidRPr="00BB7AAC" w:rsidRDefault="00735BC3" w:rsidP="00735BC3">
            <w:pPr>
              <w:jc w:val="right"/>
            </w:pPr>
          </w:p>
          <w:p w:rsidR="00735BC3" w:rsidRPr="00BB7AAC" w:rsidRDefault="00735BC3" w:rsidP="00735BC3">
            <w:pPr>
              <w:jc w:val="right"/>
            </w:pPr>
            <w:r w:rsidRPr="00BB7AAC">
              <w:rPr>
                <w:b/>
                <w:bCs/>
              </w:rPr>
              <w:t>107,44</w:t>
            </w:r>
          </w:p>
        </w:tc>
      </w:tr>
    </w:tbl>
    <w:p w:rsidR="00BB7AAC" w:rsidRPr="00BB7AAC" w:rsidRDefault="00BB7AAC" w:rsidP="00BB7AAC">
      <w:pPr>
        <w:jc w:val="both"/>
      </w:pPr>
    </w:p>
    <w:p w:rsidR="00BB7AAC" w:rsidRPr="00BB7AAC" w:rsidRDefault="00BB7AAC" w:rsidP="00BB7AAC">
      <w:pPr>
        <w:jc w:val="both"/>
      </w:pPr>
    </w:p>
    <w:p w:rsidR="00BB7AAC" w:rsidRPr="00BB7AAC" w:rsidRDefault="00BB7AAC" w:rsidP="00BB7AAC">
      <w:pPr>
        <w:jc w:val="both"/>
        <w:rPr>
          <w:b/>
          <w:u w:val="single"/>
        </w:rPr>
      </w:pPr>
      <w:r w:rsidRPr="00BB7AAC">
        <w:rPr>
          <w:b/>
          <w:u w:val="single"/>
        </w:rPr>
        <w:t>ΤΟΚΟΙ-ΠΡΟΣΑΥΞΗΣΕΙΣ:</w:t>
      </w:r>
    </w:p>
    <w:p w:rsidR="00BB7AAC" w:rsidRPr="00BB7AAC" w:rsidRDefault="00BB7AAC" w:rsidP="00BB7AAC">
      <w:pPr>
        <w:jc w:val="both"/>
      </w:pPr>
    </w:p>
    <w:bookmarkStart w:id="0" w:name="_Hlk480225058"/>
    <w:p w:rsidR="00BB7AAC" w:rsidRPr="00BB7AAC" w:rsidRDefault="007232D1" w:rsidP="00BB7AAC">
      <w:pPr>
        <w:jc w:val="both"/>
        <w:rPr>
          <w:lang w:val="el-GR"/>
        </w:rPr>
      </w:pPr>
      <w:r w:rsidRPr="007232D1">
        <w:rPr>
          <w:color w:val="000000" w:themeColor="text1"/>
        </w:rPr>
        <w:fldChar w:fldCharType="begin"/>
      </w:r>
      <w:r w:rsidR="00BB7AAC" w:rsidRPr="00BB7AAC">
        <w:rPr>
          <w:color w:val="000000" w:themeColor="text1"/>
          <w:lang w:val="el-GR"/>
        </w:rPr>
        <w:instrText xml:space="preserve"> </w:instrText>
      </w:r>
      <w:r w:rsidR="00BB7AAC" w:rsidRPr="00BB7AAC">
        <w:rPr>
          <w:color w:val="000000" w:themeColor="text1"/>
        </w:rPr>
        <w:instrText>HYPERLINK</w:instrText>
      </w:r>
      <w:r w:rsidR="00BB7AAC" w:rsidRPr="00BB7AAC">
        <w:rPr>
          <w:color w:val="000000" w:themeColor="text1"/>
          <w:lang w:val="el-GR"/>
        </w:rPr>
        <w:instrText xml:space="preserve"> "</w:instrText>
      </w:r>
      <w:r w:rsidR="00BB7AAC" w:rsidRPr="00BB7AAC">
        <w:rPr>
          <w:color w:val="000000" w:themeColor="text1"/>
        </w:rPr>
        <w:instrText>https</w:instrText>
      </w:r>
      <w:r w:rsidR="00BB7AAC" w:rsidRPr="00BB7AAC">
        <w:rPr>
          <w:color w:val="000000" w:themeColor="text1"/>
          <w:lang w:val="el-GR"/>
        </w:rPr>
        <w:instrText>://</w:instrText>
      </w:r>
      <w:r w:rsidR="00BB7AAC" w:rsidRPr="00BB7AAC">
        <w:rPr>
          <w:color w:val="000000" w:themeColor="text1"/>
        </w:rPr>
        <w:instrText>www</w:instrText>
      </w:r>
      <w:r w:rsidR="00BB7AAC" w:rsidRPr="00BB7AAC">
        <w:rPr>
          <w:color w:val="000000" w:themeColor="text1"/>
          <w:lang w:val="el-GR"/>
        </w:rPr>
        <w:instrText>.</w:instrText>
      </w:r>
      <w:r w:rsidR="00BB7AAC" w:rsidRPr="00BB7AAC">
        <w:rPr>
          <w:color w:val="000000" w:themeColor="text1"/>
        </w:rPr>
        <w:instrText>blogger</w:instrText>
      </w:r>
      <w:r w:rsidR="00BB7AAC" w:rsidRPr="00BB7AAC">
        <w:rPr>
          <w:color w:val="000000" w:themeColor="text1"/>
          <w:lang w:val="el-GR"/>
        </w:rPr>
        <w:instrText>.</w:instrText>
      </w:r>
      <w:r w:rsidR="00BB7AAC" w:rsidRPr="00BB7AAC">
        <w:rPr>
          <w:color w:val="000000" w:themeColor="text1"/>
        </w:rPr>
        <w:instrText>com</w:instrText>
      </w:r>
      <w:r w:rsidR="00BB7AAC" w:rsidRPr="00BB7AAC">
        <w:rPr>
          <w:color w:val="000000" w:themeColor="text1"/>
          <w:lang w:val="el-GR"/>
        </w:rPr>
        <w:instrText>/</w:instrText>
      </w:r>
      <w:r w:rsidR="00BB7AAC" w:rsidRPr="00BB7AAC">
        <w:rPr>
          <w:color w:val="000000" w:themeColor="text1"/>
        </w:rPr>
        <w:instrText>u</w:instrText>
      </w:r>
      <w:r w:rsidR="00BB7AAC" w:rsidRPr="00BB7AAC">
        <w:rPr>
          <w:color w:val="000000" w:themeColor="text1"/>
          <w:lang w:val="el-GR"/>
        </w:rPr>
        <w:instrText>/1/</w:instrText>
      </w:r>
      <w:r w:rsidR="00BB7AAC" w:rsidRPr="00BB7AAC">
        <w:rPr>
          <w:color w:val="000000" w:themeColor="text1"/>
        </w:rPr>
        <w:instrText>null</w:instrText>
      </w:r>
      <w:r w:rsidR="00BB7AAC" w:rsidRPr="00BB7AAC">
        <w:rPr>
          <w:color w:val="000000" w:themeColor="text1"/>
          <w:lang w:val="el-GR"/>
        </w:rPr>
        <w:instrText xml:space="preserve">" </w:instrText>
      </w:r>
      <w:r w:rsidRPr="007232D1">
        <w:rPr>
          <w:color w:val="000000" w:themeColor="text1"/>
        </w:rPr>
        <w:fldChar w:fldCharType="separate"/>
      </w:r>
      <w:r w:rsidR="00BB7AAC" w:rsidRPr="00BB7AAC">
        <w:rPr>
          <w:rStyle w:val="Hyperlink"/>
          <w:color w:val="000000" w:themeColor="text1"/>
          <w:u w:val="none"/>
          <w:lang w:val="el-GR"/>
        </w:rPr>
        <w:t>Κατά το άρθρο 59 Ν.4445/2016,ΦΕΚ Α 236: </w:t>
      </w:r>
      <w:r w:rsidR="00BB7AAC" w:rsidRPr="00BB7AAC">
        <w:rPr>
          <w:rStyle w:val="Hyperlink"/>
          <w:i/>
          <w:iCs/>
          <w:color w:val="000000" w:themeColor="text1"/>
          <w:u w:val="none"/>
          <w:lang w:val="el-GR"/>
        </w:rPr>
        <w:t>"Από 1.1.2017 το ποσό των ασφαλιστικών εισφορών που δεν καταβάλλεται βάσει των άρθρων 39 και 40 του ν. 4387/2016, κατά το χρόνο λήξης της προθεσμίας πληρωμής των μηνιαίων ασφαλιστικών εισφορών, επιβαρύνεται με τις νόμιμες προσαυξήσεις και τόκους. Σε περίπτωση που κατά το χρόνο λήξης της προθεσμίας πληρωμής των μηνιαίων ασφαλιστικών εισφορών καταβληθεί ποσό μεγαλύτερο από το ποσό που απαιτείται, το επιπλέον ποσό μεταφέρεται ως πιστωμένο και συμψηφίζεται με τις ασφαλιστικές εισφορές του επόμενου χρονικού διαστήματος".</w:t>
      </w:r>
      <w:r w:rsidR="00BB7AAC" w:rsidRPr="00BB7AAC">
        <w:rPr>
          <w:rStyle w:val="Hyperlink"/>
          <w:color w:val="000000" w:themeColor="text1"/>
          <w:u w:val="none"/>
          <w:lang w:val="el-GR"/>
        </w:rPr>
        <w:t> Καίτοι η διάταξη αναφέρει και περί λοιπών προσαυξήσεων, κατά την άποψή μας, </w:t>
      </w:r>
      <w:r w:rsidR="00BB7AAC" w:rsidRPr="00BB7AAC">
        <w:rPr>
          <w:rStyle w:val="Hyperlink"/>
          <w:bCs/>
          <w:color w:val="000000" w:themeColor="text1"/>
          <w:u w:val="none"/>
          <w:lang w:val="el-GR"/>
        </w:rPr>
        <w:t>μοναδική συνέπεια της καθυστέρησης είναι επιβολή του ετησίου επιτοκίου (</w:t>
      </w:r>
      <w:proofErr w:type="spellStart"/>
      <w:r w:rsidR="00BB7AAC" w:rsidRPr="00BB7AAC">
        <w:rPr>
          <w:rStyle w:val="Hyperlink"/>
          <w:bCs/>
          <w:color w:val="000000" w:themeColor="text1"/>
          <w:u w:val="none"/>
          <w:lang w:val="el-GR"/>
        </w:rPr>
        <w:t>πρβλ</w:t>
      </w:r>
      <w:proofErr w:type="spellEnd"/>
      <w:r w:rsidR="00BB7AAC" w:rsidRPr="00BB7AAC">
        <w:rPr>
          <w:rStyle w:val="Hyperlink"/>
          <w:bCs/>
          <w:color w:val="000000" w:themeColor="text1"/>
          <w:u w:val="none"/>
          <w:lang w:val="el-GR"/>
        </w:rPr>
        <w:t>.</w:t>
      </w:r>
      <w:r w:rsidRPr="00BB7AAC">
        <w:rPr>
          <w:color w:val="000000" w:themeColor="text1"/>
          <w:lang w:val="el-GR"/>
        </w:rPr>
        <w:fldChar w:fldCharType="end"/>
      </w:r>
      <w:bookmarkEnd w:id="0"/>
      <w:r w:rsidR="00BB7AAC" w:rsidRPr="00BB7AAC">
        <w:rPr>
          <w:bCs/>
          <w:lang w:val="el-GR"/>
        </w:rPr>
        <w:t xml:space="preserve"> ΣΤΕ </w:t>
      </w:r>
      <w:r w:rsidR="00BB7AAC" w:rsidRPr="00BB7AAC">
        <w:rPr>
          <w:b/>
          <w:bCs/>
          <w:lang w:val="el-GR"/>
        </w:rPr>
        <w:t>3240/2011, ΣτΕ 1838/2007, 3535/2007)</w:t>
      </w:r>
      <w:r w:rsidR="00BB7AAC" w:rsidRPr="00BB7AAC">
        <w:rPr>
          <w:lang w:val="el-GR"/>
        </w:rPr>
        <w:t> προβλεπομένου στη διάταξη της περίπτωσης 11 της υποπαραγράφου ΙΑ.2. της παρ. ΙΑ` του άρθρου πρώτου του ν. 41</w:t>
      </w:r>
      <w:bookmarkStart w:id="1" w:name="_GoBack"/>
      <w:bookmarkEnd w:id="1"/>
      <w:r w:rsidR="00BB7AAC" w:rsidRPr="00BB7AAC">
        <w:rPr>
          <w:lang w:val="el-GR"/>
        </w:rPr>
        <w:t>52/2013, όπως αντικαταστάθηκε με το άρθρο 2 παρ.4 του Ν.4158/2013, στην οποία ορίζονται τα εξής:</w:t>
      </w:r>
    </w:p>
    <w:p w:rsidR="00BB7AAC" w:rsidRPr="00BB7AAC" w:rsidRDefault="00BB7AAC" w:rsidP="00BB7AAC">
      <w:pPr>
        <w:jc w:val="both"/>
        <w:rPr>
          <w:lang w:val="el-GR"/>
        </w:rPr>
      </w:pPr>
      <w:r w:rsidRPr="00BB7AAC">
        <w:rPr>
          <w:i/>
          <w:iCs/>
          <w:lang w:val="el-GR"/>
        </w:rPr>
        <w:t>«11. Τα προβλεπόμενα πρόσθετα τέλη του εδαφίου δ` της παραγράφου 1 του άρθρου 27 του α.ν. 1846/1951 (Α` 179), όπως αντικαταστάθηκε και ισχύει με το άρθρο 21 του ν. 4075/2012 (Α` 89),παύουν να ισχύουν για ασφαλιστικές εισφορές, υπέρ του εκάστοτε φορέα κοινωνικής ασφάλισης πλην του NAT, από 1.1.2013 και εφεξής, οι οποίες δεν καταβάλλονται εμπροθέσμως και αντικαθίστανται από ένα</w:t>
      </w:r>
      <w:r w:rsidRPr="00BB7AAC">
        <w:rPr>
          <w:b/>
          <w:bCs/>
          <w:i/>
          <w:iCs/>
          <w:lang w:val="el-GR"/>
        </w:rPr>
        <w:t>ετήσιο επιτόκιο που ισούται</w:t>
      </w:r>
      <w:r w:rsidRPr="00BB7AAC">
        <w:rPr>
          <w:i/>
          <w:iCs/>
          <w:lang w:val="el-GR"/>
        </w:rPr>
        <w:t> </w:t>
      </w:r>
      <w:r w:rsidRPr="00BB7AAC">
        <w:rPr>
          <w:i/>
          <w:iCs/>
          <w:u w:val="single"/>
          <w:lang w:val="el-GR"/>
        </w:rPr>
        <w:t>με το επιτόκιο αναχρηματοδότησης της Ευρωπαϊκής Κεντρικής Τράπεζας, συν ένα περιθώριο 800 μονάδων βάσης (δηλαδή 8%), υπολογισμένο σε ετήσια βάση </w:t>
      </w:r>
      <w:r w:rsidRPr="00BB7AAC">
        <w:rPr>
          <w:b/>
          <w:bCs/>
          <w:i/>
          <w:iCs/>
          <w:u w:val="single"/>
          <w:lang w:val="el-GR"/>
        </w:rPr>
        <w:t>και με αναδρομική εφαρμογή από 1.1.2013</w:t>
      </w:r>
      <w:r w:rsidRPr="00BB7AAC">
        <w:rPr>
          <w:b/>
          <w:bCs/>
          <w:i/>
          <w:iCs/>
          <w:lang w:val="el-GR"/>
        </w:rPr>
        <w:t>.</w:t>
      </w:r>
      <w:r w:rsidRPr="00BB7AAC">
        <w:rPr>
          <w:i/>
          <w:iCs/>
          <w:lang w:val="el-GR"/>
        </w:rPr>
        <w:t>»</w:t>
      </w:r>
    </w:p>
    <w:p w:rsidR="00BB7AAC" w:rsidRPr="00BB7AAC" w:rsidRDefault="00BB7AAC" w:rsidP="00BB7AAC">
      <w:pPr>
        <w:jc w:val="both"/>
        <w:rPr>
          <w:lang w:val="el-GR"/>
        </w:rPr>
      </w:pPr>
    </w:p>
    <w:p w:rsidR="00BB7AAC" w:rsidRPr="00BB7AAC" w:rsidRDefault="00BB7AAC" w:rsidP="00BB7AAC">
      <w:pPr>
        <w:jc w:val="both"/>
        <w:rPr>
          <w:lang w:val="el-GR"/>
        </w:rPr>
      </w:pPr>
      <w:r w:rsidRPr="00BB7AAC">
        <w:rPr>
          <w:lang w:val="el-GR"/>
        </w:rPr>
        <w:lastRenderedPageBreak/>
        <w:t>Θα πρέπει να επισημανθεί πως ο τόκος ανέρχεται πλέον σε 8% ετησίως ή 0,667% μηνιαίως</w:t>
      </w:r>
      <w:r w:rsidRPr="00BB7AAC">
        <w:t> </w:t>
      </w:r>
      <w:r w:rsidRPr="00BB7AAC">
        <w:rPr>
          <w:lang w:val="el-GR"/>
        </w:rPr>
        <w:t>κ</w:t>
      </w:r>
      <w:r w:rsidRPr="00BB7AAC">
        <w:rPr>
          <w:b/>
          <w:bCs/>
          <w:u w:val="single"/>
          <w:lang w:val="el-GR"/>
        </w:rPr>
        <w:t>αι για να επιβληθεί η απαίτηση θα πρέπει να είναι βεβαία και εκκαθαρισμένη, κάτι που προφανώς δεν συμβαίνει με την έκδοση του ειδοποιητηρίου, το οποίο και τελεί υπό την αίρεση της εκκαθάρισης.</w:t>
      </w:r>
      <w:r w:rsidRPr="00BB7AAC">
        <w:t> </w:t>
      </w:r>
      <w:r w:rsidRPr="00BB7AAC">
        <w:rPr>
          <w:lang w:val="el-GR"/>
        </w:rPr>
        <w:t>Ω</w:t>
      </w:r>
      <w:r w:rsidRPr="00BB7AAC">
        <w:rPr>
          <w:b/>
          <w:bCs/>
          <w:u w:val="single"/>
          <w:lang w:val="el-GR"/>
        </w:rPr>
        <w:t>ς εκ τούτου και μέχρι την εκκαθάριση των ασφαλιστικών εισφορών οι εκπρόθεσμα καταβληθείσες εισφορές δεν επιβαρύνονται με τόκο ή άλλες προσαυξήσεις.</w:t>
      </w:r>
    </w:p>
    <w:p w:rsidR="00BB7AAC" w:rsidRPr="00BB7AAC" w:rsidRDefault="00BB7AAC" w:rsidP="00BB7AAC">
      <w:pPr>
        <w:jc w:val="both"/>
        <w:rPr>
          <w:lang w:val="el-GR"/>
        </w:rPr>
      </w:pPr>
    </w:p>
    <w:p w:rsidR="00BB7AAC" w:rsidRPr="00BB7AAC" w:rsidRDefault="00BB7AAC" w:rsidP="00BB7AAC">
      <w:pPr>
        <w:jc w:val="both"/>
        <w:rPr>
          <w:lang w:val="el-GR"/>
        </w:rPr>
      </w:pPr>
      <w:r w:rsidRPr="00BB7AAC">
        <w:rPr>
          <w:b/>
          <w:bCs/>
          <w:lang w:val="el-GR"/>
        </w:rPr>
        <w:t>Οι εκπρόθεσμα καταβληθείσες δόσεις της εκκαθάρισης επιβαρύνονται με προσαυξήσεις, οι οποίες εμφανίζονται στον Ατομικό Λογαριασμό του ασφαλισμένου στις Ηλεκτρονικές Υπηρεσίες αναλυτικά:</w:t>
      </w:r>
    </w:p>
    <w:p w:rsidR="00BB7AAC" w:rsidRPr="00BB7AAC" w:rsidRDefault="00BB7AAC" w:rsidP="00BB7AAC">
      <w:pPr>
        <w:jc w:val="both"/>
        <w:rPr>
          <w:lang w:val="el-GR"/>
        </w:rPr>
      </w:pPr>
      <w:r w:rsidRPr="00BB7AAC">
        <w:rPr>
          <w:b/>
          <w:bCs/>
          <w:lang w:val="el-GR"/>
        </w:rPr>
        <w:t>"ΥΠΟΧΡΕΩΣΕΙΣ ΚΟΙΝΩΝΙΚΗΣ ΑΣΦΑΛΙΣΗΣ ---&gt; ΕΚΚΑΘΑΡΙΣΗ (Δόσεις Εκκαθάρισης- Καταλογισθείσες Προσαυξήσεις)</w:t>
      </w:r>
    </w:p>
    <w:p w:rsidR="00BB7AAC" w:rsidRPr="00BB7AAC" w:rsidRDefault="00BB7AAC" w:rsidP="00BB7AAC">
      <w:pPr>
        <w:jc w:val="both"/>
        <w:rPr>
          <w:lang w:val="el-GR"/>
        </w:rPr>
      </w:pPr>
      <w:r w:rsidRPr="00BB7AAC">
        <w:rPr>
          <w:b/>
          <w:bCs/>
          <w:u w:val="single"/>
          <w:lang w:val="el-GR"/>
        </w:rPr>
        <w:t>ΥΓ. Αυτονόητο είναι πως για τα ειδοποιητήρια ΕΤΕΑΕΠ, για τα οποία δεν υπάρχει ανάγκη εκκαθάρισης, ο τόκος θα τρέχει από την καθυστέρηση πληρωμής ενός εκάστου.</w:t>
      </w:r>
    </w:p>
    <w:p w:rsidR="00BB7AAC" w:rsidRPr="00BB7AAC" w:rsidRDefault="00BB7AAC" w:rsidP="00BB7AAC">
      <w:pPr>
        <w:jc w:val="both"/>
        <w:rPr>
          <w:lang w:val="el-GR"/>
        </w:rPr>
      </w:pPr>
    </w:p>
    <w:sectPr w:rsidR="00BB7AAC" w:rsidRPr="00BB7AAC" w:rsidSect="00723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AAC"/>
    <w:rsid w:val="000411C8"/>
    <w:rsid w:val="00057410"/>
    <w:rsid w:val="00222EC9"/>
    <w:rsid w:val="007232D1"/>
    <w:rsid w:val="00735BC3"/>
    <w:rsid w:val="00A53D19"/>
    <w:rsid w:val="00BB7AAC"/>
    <w:rsid w:val="00D17949"/>
    <w:rsid w:val="00F83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AAC"/>
    <w:rPr>
      <w:color w:val="0563C1" w:themeColor="hyperlink"/>
      <w:u w:val="single"/>
    </w:rPr>
  </w:style>
  <w:style w:type="character" w:customStyle="1" w:styleId="UnresolvedMention">
    <w:name w:val="Unresolved Mention"/>
    <w:basedOn w:val="DefaultParagraphFont"/>
    <w:uiPriority w:val="99"/>
    <w:semiHidden/>
    <w:unhideWhenUsed/>
    <w:rsid w:val="00BB7AA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40321563">
      <w:bodyDiv w:val="1"/>
      <w:marLeft w:val="0"/>
      <w:marRight w:val="0"/>
      <w:marTop w:val="0"/>
      <w:marBottom w:val="0"/>
      <w:divBdr>
        <w:top w:val="none" w:sz="0" w:space="0" w:color="auto"/>
        <w:left w:val="none" w:sz="0" w:space="0" w:color="auto"/>
        <w:bottom w:val="none" w:sz="0" w:space="0" w:color="auto"/>
        <w:right w:val="none" w:sz="0" w:space="0" w:color="auto"/>
      </w:divBdr>
      <w:divsChild>
        <w:div w:id="1287158993">
          <w:marLeft w:val="0"/>
          <w:marRight w:val="0"/>
          <w:marTop w:val="0"/>
          <w:marBottom w:val="0"/>
          <w:divBdr>
            <w:top w:val="none" w:sz="0" w:space="0" w:color="auto"/>
            <w:left w:val="none" w:sz="0" w:space="0" w:color="auto"/>
            <w:bottom w:val="none" w:sz="0" w:space="0" w:color="auto"/>
            <w:right w:val="none" w:sz="0" w:space="0" w:color="auto"/>
          </w:divBdr>
        </w:div>
        <w:div w:id="112094317">
          <w:marLeft w:val="0"/>
          <w:marRight w:val="0"/>
          <w:marTop w:val="0"/>
          <w:marBottom w:val="0"/>
          <w:divBdr>
            <w:top w:val="none" w:sz="0" w:space="0" w:color="auto"/>
            <w:left w:val="none" w:sz="0" w:space="0" w:color="auto"/>
            <w:bottom w:val="none" w:sz="0" w:space="0" w:color="auto"/>
            <w:right w:val="none" w:sz="0" w:space="0" w:color="auto"/>
          </w:divBdr>
        </w:div>
        <w:div w:id="890386292">
          <w:marLeft w:val="0"/>
          <w:marRight w:val="0"/>
          <w:marTop w:val="0"/>
          <w:marBottom w:val="0"/>
          <w:divBdr>
            <w:top w:val="none" w:sz="0" w:space="0" w:color="auto"/>
            <w:left w:val="none" w:sz="0" w:space="0" w:color="auto"/>
            <w:bottom w:val="none" w:sz="0" w:space="0" w:color="auto"/>
            <w:right w:val="none" w:sz="0" w:space="0" w:color="auto"/>
          </w:divBdr>
        </w:div>
        <w:div w:id="2115587725">
          <w:marLeft w:val="0"/>
          <w:marRight w:val="0"/>
          <w:marTop w:val="0"/>
          <w:marBottom w:val="0"/>
          <w:divBdr>
            <w:top w:val="none" w:sz="0" w:space="0" w:color="auto"/>
            <w:left w:val="none" w:sz="0" w:space="0" w:color="auto"/>
            <w:bottom w:val="none" w:sz="0" w:space="0" w:color="auto"/>
            <w:right w:val="none" w:sz="0" w:space="0" w:color="auto"/>
          </w:divBdr>
        </w:div>
        <w:div w:id="270867248">
          <w:marLeft w:val="0"/>
          <w:marRight w:val="0"/>
          <w:marTop w:val="0"/>
          <w:marBottom w:val="0"/>
          <w:divBdr>
            <w:top w:val="none" w:sz="0" w:space="0" w:color="auto"/>
            <w:left w:val="none" w:sz="0" w:space="0" w:color="auto"/>
            <w:bottom w:val="none" w:sz="0" w:space="0" w:color="auto"/>
            <w:right w:val="none" w:sz="0" w:space="0" w:color="auto"/>
          </w:divBdr>
        </w:div>
        <w:div w:id="61828578">
          <w:marLeft w:val="0"/>
          <w:marRight w:val="0"/>
          <w:marTop w:val="0"/>
          <w:marBottom w:val="0"/>
          <w:divBdr>
            <w:top w:val="none" w:sz="0" w:space="0" w:color="auto"/>
            <w:left w:val="none" w:sz="0" w:space="0" w:color="auto"/>
            <w:bottom w:val="none" w:sz="0" w:space="0" w:color="auto"/>
            <w:right w:val="none" w:sz="0" w:space="0" w:color="auto"/>
          </w:divBdr>
        </w:div>
        <w:div w:id="450440590">
          <w:marLeft w:val="0"/>
          <w:marRight w:val="0"/>
          <w:marTop w:val="0"/>
          <w:marBottom w:val="0"/>
          <w:divBdr>
            <w:top w:val="none" w:sz="0" w:space="0" w:color="auto"/>
            <w:left w:val="none" w:sz="0" w:space="0" w:color="auto"/>
            <w:bottom w:val="none" w:sz="0" w:space="0" w:color="auto"/>
            <w:right w:val="none" w:sz="0" w:space="0" w:color="auto"/>
          </w:divBdr>
        </w:div>
        <w:div w:id="712584303">
          <w:marLeft w:val="0"/>
          <w:marRight w:val="0"/>
          <w:marTop w:val="0"/>
          <w:marBottom w:val="0"/>
          <w:divBdr>
            <w:top w:val="none" w:sz="0" w:space="0" w:color="auto"/>
            <w:left w:val="none" w:sz="0" w:space="0" w:color="auto"/>
            <w:bottom w:val="none" w:sz="0" w:space="0" w:color="auto"/>
            <w:right w:val="none" w:sz="0" w:space="0" w:color="auto"/>
          </w:divBdr>
        </w:div>
        <w:div w:id="941718241">
          <w:marLeft w:val="0"/>
          <w:marRight w:val="0"/>
          <w:marTop w:val="0"/>
          <w:marBottom w:val="0"/>
          <w:divBdr>
            <w:top w:val="none" w:sz="0" w:space="0" w:color="auto"/>
            <w:left w:val="none" w:sz="0" w:space="0" w:color="auto"/>
            <w:bottom w:val="none" w:sz="0" w:space="0" w:color="auto"/>
            <w:right w:val="none" w:sz="0" w:space="0" w:color="auto"/>
          </w:divBdr>
        </w:div>
        <w:div w:id="840974231">
          <w:marLeft w:val="0"/>
          <w:marRight w:val="0"/>
          <w:marTop w:val="0"/>
          <w:marBottom w:val="0"/>
          <w:divBdr>
            <w:top w:val="none" w:sz="0" w:space="0" w:color="auto"/>
            <w:left w:val="none" w:sz="0" w:space="0" w:color="auto"/>
            <w:bottom w:val="none" w:sz="0" w:space="0" w:color="auto"/>
            <w:right w:val="none" w:sz="0" w:space="0" w:color="auto"/>
          </w:divBdr>
        </w:div>
        <w:div w:id="408578752">
          <w:marLeft w:val="0"/>
          <w:marRight w:val="0"/>
          <w:marTop w:val="0"/>
          <w:marBottom w:val="0"/>
          <w:divBdr>
            <w:top w:val="none" w:sz="0" w:space="0" w:color="auto"/>
            <w:left w:val="none" w:sz="0" w:space="0" w:color="auto"/>
            <w:bottom w:val="none" w:sz="0" w:space="0" w:color="auto"/>
            <w:right w:val="none" w:sz="0" w:space="0" w:color="auto"/>
          </w:divBdr>
        </w:div>
        <w:div w:id="255525297">
          <w:marLeft w:val="0"/>
          <w:marRight w:val="0"/>
          <w:marTop w:val="0"/>
          <w:marBottom w:val="0"/>
          <w:divBdr>
            <w:top w:val="none" w:sz="0" w:space="0" w:color="auto"/>
            <w:left w:val="none" w:sz="0" w:space="0" w:color="auto"/>
            <w:bottom w:val="none" w:sz="0" w:space="0" w:color="auto"/>
            <w:right w:val="none" w:sz="0" w:space="0" w:color="auto"/>
          </w:divBdr>
        </w:div>
        <w:div w:id="1618565189">
          <w:marLeft w:val="0"/>
          <w:marRight w:val="0"/>
          <w:marTop w:val="0"/>
          <w:marBottom w:val="0"/>
          <w:divBdr>
            <w:top w:val="none" w:sz="0" w:space="0" w:color="auto"/>
            <w:left w:val="none" w:sz="0" w:space="0" w:color="auto"/>
            <w:bottom w:val="none" w:sz="0" w:space="0" w:color="auto"/>
            <w:right w:val="none" w:sz="0" w:space="0" w:color="auto"/>
          </w:divBdr>
        </w:div>
        <w:div w:id="1593583181">
          <w:marLeft w:val="0"/>
          <w:marRight w:val="0"/>
          <w:marTop w:val="0"/>
          <w:marBottom w:val="0"/>
          <w:divBdr>
            <w:top w:val="none" w:sz="0" w:space="0" w:color="auto"/>
            <w:left w:val="none" w:sz="0" w:space="0" w:color="auto"/>
            <w:bottom w:val="none" w:sz="0" w:space="0" w:color="auto"/>
            <w:right w:val="none" w:sz="0" w:space="0" w:color="auto"/>
          </w:divBdr>
        </w:div>
        <w:div w:id="2047631637">
          <w:marLeft w:val="0"/>
          <w:marRight w:val="0"/>
          <w:marTop w:val="0"/>
          <w:marBottom w:val="0"/>
          <w:divBdr>
            <w:top w:val="none" w:sz="0" w:space="0" w:color="auto"/>
            <w:left w:val="none" w:sz="0" w:space="0" w:color="auto"/>
            <w:bottom w:val="none" w:sz="0" w:space="0" w:color="auto"/>
            <w:right w:val="none" w:sz="0" w:space="0" w:color="auto"/>
          </w:divBdr>
        </w:div>
        <w:div w:id="114521554">
          <w:marLeft w:val="0"/>
          <w:marRight w:val="0"/>
          <w:marTop w:val="0"/>
          <w:marBottom w:val="0"/>
          <w:divBdr>
            <w:top w:val="none" w:sz="0" w:space="0" w:color="auto"/>
            <w:left w:val="none" w:sz="0" w:space="0" w:color="auto"/>
            <w:bottom w:val="none" w:sz="0" w:space="0" w:color="auto"/>
            <w:right w:val="none" w:sz="0" w:space="0" w:color="auto"/>
          </w:divBdr>
        </w:div>
        <w:div w:id="291450801">
          <w:marLeft w:val="0"/>
          <w:marRight w:val="0"/>
          <w:marTop w:val="0"/>
          <w:marBottom w:val="0"/>
          <w:divBdr>
            <w:top w:val="none" w:sz="0" w:space="0" w:color="auto"/>
            <w:left w:val="none" w:sz="0" w:space="0" w:color="auto"/>
            <w:bottom w:val="none" w:sz="0" w:space="0" w:color="auto"/>
            <w:right w:val="none" w:sz="0" w:space="0" w:color="auto"/>
          </w:divBdr>
        </w:div>
        <w:div w:id="430471024">
          <w:marLeft w:val="0"/>
          <w:marRight w:val="0"/>
          <w:marTop w:val="0"/>
          <w:marBottom w:val="0"/>
          <w:divBdr>
            <w:top w:val="none" w:sz="0" w:space="0" w:color="auto"/>
            <w:left w:val="none" w:sz="0" w:space="0" w:color="auto"/>
            <w:bottom w:val="none" w:sz="0" w:space="0" w:color="auto"/>
            <w:right w:val="none" w:sz="0" w:space="0" w:color="auto"/>
          </w:divBdr>
          <w:divsChild>
            <w:div w:id="671840042">
              <w:marLeft w:val="0"/>
              <w:marRight w:val="0"/>
              <w:marTop w:val="240"/>
              <w:marBottom w:val="0"/>
              <w:divBdr>
                <w:top w:val="none" w:sz="0" w:space="0" w:color="auto"/>
                <w:left w:val="none" w:sz="0" w:space="0" w:color="auto"/>
                <w:bottom w:val="none" w:sz="0" w:space="0" w:color="auto"/>
                <w:right w:val="none" w:sz="0" w:space="0" w:color="auto"/>
              </w:divBdr>
            </w:div>
            <w:div w:id="896166155">
              <w:marLeft w:val="0"/>
              <w:marRight w:val="0"/>
              <w:marTop w:val="240"/>
              <w:marBottom w:val="0"/>
              <w:divBdr>
                <w:top w:val="none" w:sz="0" w:space="0" w:color="auto"/>
                <w:left w:val="none" w:sz="0" w:space="0" w:color="auto"/>
                <w:bottom w:val="none" w:sz="0" w:space="0" w:color="auto"/>
                <w:right w:val="none" w:sz="0" w:space="0" w:color="auto"/>
              </w:divBdr>
            </w:div>
            <w:div w:id="17950996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Koutsolampros</dc:creator>
  <cp:lastModifiedBy>teo</cp:lastModifiedBy>
  <cp:revision>2</cp:revision>
  <dcterms:created xsi:type="dcterms:W3CDTF">2018-10-25T10:53:00Z</dcterms:created>
  <dcterms:modified xsi:type="dcterms:W3CDTF">2018-10-25T10:53:00Z</dcterms:modified>
</cp:coreProperties>
</file>