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06B8DA7D" w:rsidR="0032672E" w:rsidRDefault="00250374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 </w:t>
            </w:r>
            <w:r w:rsidR="006E040A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103FB59B" w:rsidR="0032672E" w:rsidRPr="005068D5" w:rsidRDefault="005068D5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1C590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</w:t>
            </w:r>
            <w:r w:rsidR="0010106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67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EBBCBF6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1C590F">
              <w:rPr>
                <w:rFonts w:ascii="Book Antiqua" w:hAnsi="Book Antiqua"/>
              </w:rPr>
              <w:t>15</w:t>
            </w:r>
            <w:r w:rsidR="008B122F">
              <w:rPr>
                <w:rFonts w:ascii="Book Antiqua" w:hAnsi="Book Antiqua"/>
              </w:rPr>
              <w:t xml:space="preserve"> </w:t>
            </w:r>
            <w:r w:rsidR="001C590F">
              <w:rPr>
                <w:rFonts w:ascii="Book Antiqua" w:hAnsi="Book Antiqua"/>
              </w:rPr>
              <w:t>Νοεμβρίου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7726C556" w:rsidR="000A7D6A" w:rsidRPr="00101069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101069">
              <w:rPr>
                <w:rFonts w:ascii="Book Antiqua" w:hAnsi="Book Antiqua"/>
                <w:lang w:val="en-US"/>
              </w:rPr>
              <w:t xml:space="preserve"> 453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50374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6369F4A0" w14:textId="7AEB31AC" w:rsidR="00271C49" w:rsidRPr="0069230C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</w:t>
            </w:r>
            <w:r w:rsidR="00CD3E5A">
              <w:rPr>
                <w:rFonts w:ascii="Palatino Linotype" w:hAnsi="Palatino Linotype"/>
                <w:sz w:val="16"/>
              </w:rPr>
              <w:t xml:space="preserve">Ευτυχία </w:t>
            </w:r>
            <w:proofErr w:type="spellStart"/>
            <w:r w:rsidR="00CD3E5A">
              <w:rPr>
                <w:rFonts w:ascii="Palatino Linotype" w:hAnsi="Palatino Linotype"/>
                <w:sz w:val="16"/>
              </w:rPr>
              <w:t>Καραστάθη</w:t>
            </w:r>
            <w:proofErr w:type="spellEnd"/>
          </w:p>
          <w:p w14:paraId="75491CA9" w14:textId="41E39CB3" w:rsidR="000A7D6A" w:rsidRPr="0069230C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2D224522" w:rsidR="006B631C" w:rsidRPr="000A38A9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Τροποποίηση </w:t>
      </w:r>
      <w:proofErr w:type="spellStart"/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ΚΠολΔ</w:t>
      </w:r>
      <w:proofErr w:type="spellEnd"/>
      <w:r w:rsidR="00943CF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-</w:t>
      </w:r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Αρμοδιότητα συ</w:t>
      </w:r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μ</w:t>
      </w:r>
      <w:r w:rsidR="00CD3E5A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βολαιογράφου επί πλειστηριασμών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Pr="000A38A9" w:rsidRDefault="00A53994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E2F257C" w14:textId="7EFF797C" w:rsidR="00CD3E5A" w:rsidRDefault="00CD3E5A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ενημερώνουμε ότι στο ν</w:t>
      </w:r>
      <w:r w:rsidRPr="00CD3E5A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. 4855/12-11-2021 (ΦΕΚ </w:t>
      </w:r>
      <w:r w:rsid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Α</w:t>
      </w:r>
      <w:r w:rsidRPr="00CD3E5A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΄ 215/12-11-2021)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</w:t>
      </w:r>
      <w:r w:rsidRPr="00CD3E5A">
        <w:rPr>
          <w:rFonts w:ascii="Palatino Linotype" w:eastAsia="Times New Roman" w:hAnsi="Palatino Linotype" w:cs="Tahoma"/>
          <w:sz w:val="24"/>
          <w:szCs w:val="24"/>
          <w:lang w:eastAsia="x-none"/>
        </w:rPr>
        <w:t>με τον τίτλο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</w:t>
      </w:r>
      <w:r w:rsidRPr="00CD3E5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«Τροποποιήσεις του Ποινικού Κώδικα, του Κώδικα Πο</w:t>
      </w:r>
      <w:r w:rsidRPr="00CD3E5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</w:t>
      </w:r>
      <w:r w:rsidRPr="00CD3E5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νικής Δικονομίας και άλλες επείγουσες διατάξεις»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ειδ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κότερα 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>σ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</w:t>
      </w:r>
      <w:r w:rsidRP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Τρ</w:t>
      </w:r>
      <w:r w:rsidRP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ί</w:t>
      </w:r>
      <w:r w:rsidRP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το Μέρο</w:t>
      </w:r>
      <w:r w:rsidR="00943CF1" w:rsidRP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>με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τίτλο 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«Άλλες Διατάξεις του Υπουργείου Δικαιοσύνης», </w:t>
      </w:r>
      <w:r w:rsidR="00943CF1" w:rsidRPr="00943CF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στο Κεφάλαιο Β΄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τίτλο </w:t>
      </w:r>
      <w:r w:rsidR="00943CF1"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«Τροποποιήσεις στον Κώδικα Πολιτικής Δικονομίας»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περιλαμβάνονται διατάξεις </w:t>
      </w:r>
      <w:r w:rsidR="00943CF1">
        <w:rPr>
          <w:rFonts w:ascii="Palatino Linotype" w:eastAsia="Times New Roman" w:hAnsi="Palatino Linotype" w:cs="Tahoma"/>
          <w:sz w:val="24"/>
          <w:szCs w:val="24"/>
          <w:lang w:eastAsia="x-none"/>
        </w:rPr>
        <w:t>συμβολαιογραφικού ενδιαφέροντος.</w:t>
      </w:r>
    </w:p>
    <w:p w14:paraId="59AD8931" w14:textId="77777777" w:rsidR="00943CF1" w:rsidRDefault="00943CF1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Ειδικότερα, </w:t>
      </w:r>
      <w:r w:rsidRPr="007B672B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στο άρθρο 175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του προαναφερομένου νόμου ορίζονται η αρμοδιότητα του συμβολαιογράφου  για τη διενέργεια του πλειστηρι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σμού, οι ακατάσχετες απαιτήσεις που προβλέπονται σε ειδικότερους ν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ό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μους και τροποποιείται η παρ. 1 του άρθρου 959, οι παρ. 2 και 3 του άρθρου 982, η παρ. 1 του άρθρου 985 και η παρ. 1 του άρθρου 998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ΚΠολΔ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, ως εξής:</w:t>
      </w:r>
    </w:p>
    <w:p w14:paraId="1104BE73" w14:textId="11E6ADFD" w:rsidR="00943CF1" w:rsidRPr="00CD3E5A" w:rsidRDefault="00943CF1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</w:p>
    <w:p w14:paraId="4C777377" w14:textId="77777777" w:rsidR="00943CF1" w:rsidRPr="00943CF1" w:rsidRDefault="00943CF1" w:rsidP="007B672B">
      <w:pPr>
        <w:spacing w:after="0" w:line="360" w:lineRule="auto"/>
        <w:jc w:val="center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Άρθρο 175</w:t>
      </w:r>
    </w:p>
    <w:p w14:paraId="0B07681B" w14:textId="528F0DB5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Αρμόδιος Συμβολαιογράφος για την διενέργεια</w:t>
      </w:r>
      <w:r w:rsidRPr="005C3A95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του πλειστηριασμού - Ακατάσχετες απαιτήσεις</w:t>
      </w:r>
      <w:r w:rsidRPr="005C3A95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που προβλέπονται σε ειδικότερους νόμους -</w:t>
      </w:r>
    </w:p>
    <w:p w14:paraId="5FE4AE75" w14:textId="0702D84A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Τροποποίηση της παρ. 1 του άρθρου 959,</w:t>
      </w:r>
      <w:r w:rsidRPr="005C3A95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των παρ. 2 και 3 του άρθρου 982, της παρ. 1</w:t>
      </w:r>
      <w:r w:rsidRPr="005C3A95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του άρθρου 985 και της παρ. 1</w:t>
      </w:r>
      <w:r w:rsidR="007B672B" w:rsidRPr="005C3A95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του άρθρου 998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ΚΠολΔ</w:t>
      </w:r>
      <w:proofErr w:type="spellEnd"/>
    </w:p>
    <w:p w14:paraId="697CB7FA" w14:textId="3CD293FD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>1. Στο πρώτο εδάφιο της παρ. 1 του άρθρου 959 του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Κώδικα Πολιτικής Δικ</w:t>
      </w:r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νομίας (</w:t>
      </w:r>
      <w:proofErr w:type="spellStart"/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π.δ</w:t>
      </w:r>
      <w:proofErr w:type="spellEnd"/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503/1985, Α΄ 182) προ-</w:t>
      </w:r>
      <w:proofErr w:type="spellStart"/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στίθεται</w:t>
      </w:r>
      <w:proofErr w:type="spellEnd"/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η λέξη «εφετειακής» και η παρ. 1 του άρθρου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959 διαμορφώνεται ως εξής:</w:t>
      </w:r>
    </w:p>
    <w:p w14:paraId="4A03BDF0" w14:textId="12654AD6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«1. Τα κατασχεμένα πράγματα πλειστηριάζονται με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ηλεκτρονικά μέσα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νώπιον συμβολαιογράφου της εφετειακής περιφέρειας του τόπου όπου έγινε η κατάσχεση.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Εάν, για οποιονδήποτε λόγο, δεν είναι δυνατό να ορισθεί</w:t>
      </w:r>
    </w:p>
    <w:p w14:paraId="353A024E" w14:textId="536E6CE3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συμβολαιογράφος του τόπου εκτέλεσης (κατάσχεσης),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τα κατασχεμένα πράγματα πλειστηριάζονται ενώπιον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συμβολαιογράφου της περιφέρειας του συμβολαιογραφικού συλλόγου του τόπου εκτέλεσης ή, αν και αυτό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δεν είναι δυνατό, του συμβολαιογραφικού συλλόγου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της πρωτεύουσας του Κρ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τους. Ο πλειστηριασμός των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κατασχεμένων διενεργείται μέσω των ηλ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κτρονικών συστημάτων πλειστηριασμού από τον πιστοποιημένο, για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 σκ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πό αυτόν, υπάλληλο του ηλεκτρονικού πλειστηριασμού. Ο πλειστηριασμός διενεργείται ενώπιον του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ίδιου συμβολαιογράφου που ορίστηκε αρχικά και στην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περίπτωση πολλαπλών κατασχέσεων.».</w:t>
      </w:r>
    </w:p>
    <w:p w14:paraId="29D88C6F" w14:textId="48279B23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2. Στο άρθρο 982 του Κώδικα Πολιτικής Δικονομίας: α)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στην παρ. 2 προστ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θεται νέα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ζ), β) στο πρώτο εδάφιο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παρ. 3 οι λέξεις «της περίπτωσης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» αντικαθίστανται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από τις λέξεις «των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και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» και στο δεύτερο εδ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φιο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της παρ. 3 οι λέξεις «την επόμενη ημέρα της καταβολής»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αντικαθίστ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νται από τις λέξεις «και ένα μήνα μετά την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καταβολή» και οι παρ. 2 και 3 διαμορφώνονται ως εξής:</w:t>
      </w:r>
    </w:p>
    <w:p w14:paraId="73905816" w14:textId="77777777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«2. Εξαιρούνται από την κατάσχεση</w:t>
      </w:r>
    </w:p>
    <w:p w14:paraId="03903510" w14:textId="77777777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α) πράγματα που μπορούν να υποστούν άμεση φθορά,</w:t>
      </w:r>
    </w:p>
    <w:p w14:paraId="4E505E09" w14:textId="77777777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β) η εταιρική μερίδα σε προσωπικές εταιρίες,</w:t>
      </w:r>
    </w:p>
    <w:p w14:paraId="0819AF02" w14:textId="10EAF50B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γ) απαιτήσεις διατροφής που πηγάζουν από το νόμο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ή από διάταξη τελε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υ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ταίας βούλησης, καθώς και απαι</w:t>
      </w:r>
      <w:r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τήσεις για συνεισφορά των συζύγων στις ανάγκες 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οικογένειας,</w:t>
      </w:r>
    </w:p>
    <w:p w14:paraId="3CA07458" w14:textId="22607507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δ) απαιτήσεις μισθών, συντάξεων ή ασφαλιστικών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παροχών, εκτός αν πρ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κειται να ικανοποιηθεί απαίτηση για διατροφή που στηρίζεται στο νόμο ή σε διάταξη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τελευταίας βούλησης ή για συνεισφορά στις ανάγκες 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οικογ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έ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>νειας, οπότε επιτρέπεται να γίνει κατάσχεση έως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 μισό, αφού ληφθούν υπόψη τα ποσά που εισπράττει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 υπόχρεος, το μέγεθος των υποχρεώσεων που του δημιουργεί ο γάμος του για αντιμετώπιση των οικογενειακών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γκών και ο αριθμός των δικαιούχων.</w:t>
      </w:r>
    </w:p>
    <w:p w14:paraId="6057FD79" w14:textId="2D666C11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ε) κάθε είδους κοινοτικές ενισχύσεις ή επιδοτήσεις στα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χέρια του Ο.Π.Ε.Κ.Ε.Π.Ε. ως τρίτου, μέχρι την κατάθεση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τους στον τραπεζικό λογ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ριασμό των δικαιούχων ή την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με άλλο τρόπο καταβολή τους σε αυτούς.</w:t>
      </w:r>
    </w:p>
    <w:p w14:paraId="57F3AE7C" w14:textId="1017D626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στ) απαιτήσεις που επιδικάζονται σε βάρος του Ελληνικού Δημοσίου από το Ευρωπαϊκό Δικαστήριο Ανθρωπίνων Δικαιωμάτων, κατ’ εφαρμογή του 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θρου 41 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Ευρωπαϊκής Σύμβασης για την Προστασία των Δικαιωμ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των του Ανθρώπου, λόγω διαπίστωσης παραβιάσεων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της Σύμβασης αυτής ή των Πρωτοκόλλων της, εξαιρουμένων των απαιτήσεων που επιδικάζονται για την παραπάνω αιτία προς αποκατάσταση υλικής ζημίας. Το εν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λόγω ακατ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σχετο ισχύει όταν η κατάσχεση επισπεύδεται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για την ικανοποίηση απαίτ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η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σης δανειστή, που ανήκει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στο δημόσιο τομέα, όπως ορίζεται στην περίπτωση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α΄της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παρ. 1 του άρθρου 14 του ν. 4270/2014 «Αρχές δημοσιονομικής διαχε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ρισης και εποπτείας (ενσωμάτωση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της Οδηγίας 2011/85/ΕΕ) - δημόσιο λογ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στικό και 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άλλες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διατάξεις» (Α΄ 143).</w:t>
      </w:r>
    </w:p>
    <w:p w14:paraId="6686B7D8" w14:textId="13C0D894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ζ) απαιτήσεις που προβλέπονται σε ειδικότερους νόμους ως ακατάσχετες.</w:t>
      </w:r>
    </w:p>
    <w:p w14:paraId="10029B14" w14:textId="5B15AC9B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3. Η εξαίρεση των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και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της παρ. 2 ισχύει και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όταν η καταβολή του ποσού γίνεται με κατάθεση σε τραπεζικό λογαριασμό του οφειλέτη σε π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στωτικό ίδρυμα. Η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εξαίρεση ισχύει μόνο στην έκταση που ο λογαριασμός</w:t>
      </w:r>
    </w:p>
    <w:p w14:paraId="6768F51F" w14:textId="1FE2CCA4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παρουσιάζει υπόλοιπο που δεν υπερβαίνει, κατά το χρονικό διάστημα από την επιβολή της κατάσχεσης έως και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έναν (1) μήνα μετά την καταβολή, το ποσό της εξαιρούμενης από την κατάσχεση απαίτησης.».</w:t>
      </w:r>
    </w:p>
    <w:p w14:paraId="7F89C41B" w14:textId="6885A438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3. Στο δεύτερο εδάφιο της παρ. 1 του άρθρου 985 του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Κώδικα Πολιτικής Δ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κονομίας τροποποιείται η αναφορά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στις περιπτώσεις της παρ. 2 του άρθρου 982, προκειμένου να προστεθεί και η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και η παρ. 1 διαμορφώνεται ως εξής:</w:t>
      </w:r>
    </w:p>
    <w:p w14:paraId="71F22D0F" w14:textId="4EAC1EAC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>«1. Μέσα σε οκτώ (8) ημέρες αφότου του επιδοθεί το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κατασχετήριο, ο τρίτος οφείλει να δηλώσει αν υπάρχει η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απαίτηση που κατασχέθηκε, αν έχει στα χέρια του το κατασχεμένο πράγμα και αν επιβλήθηκε στα χέρια του άλλη</w:t>
      </w:r>
    </w:p>
    <w:p w14:paraId="7F23B64C" w14:textId="07B27A48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κατάσχεση και συνάμα να αναφέρει ποιος την επέβαλε και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για ποιο ποσό. Όταν η κατάσχεση επιβάλλεται στα χέρια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πιστωτικού ιδρύματος, αυτό θα πρέπει να δηλώσει, αν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υφίσταται στα χέρια του ακατάσχετη απαίτηση κατά την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έννοια των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,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και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ζ΄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της παρ. 2 του άρθρου 982.».</w:t>
      </w:r>
    </w:p>
    <w:p w14:paraId="6FEC6E64" w14:textId="7570E5E9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4. Στο πρώτο εδάφιο της παρ. 1 του άρθρου 998 του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Κώδικα Πολιτικής Δικ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νομίας προστίθεται η λέξη «εφετειακής» και η παρ. 1 διαμορφώνεται ως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ξής:</w:t>
      </w:r>
    </w:p>
    <w:p w14:paraId="31AE4D86" w14:textId="33B3885D" w:rsid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«1. Το κατασχεμένο ακίνητο πλειστηριάζεται με ηλεκτρονικά μέσα ενώπιον του συμβολαιογράφου 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της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εφετειακής περιφέρειας όπου βρίσκεται το ακ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ί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νητο.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Εάν, για οποιονδήποτε λόγο, δεν είναι δυνατό να ορισθεί συμβολαι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γράφος του τόπου εκτέλεσης (κατάσχεσης), το κατασχεμένο ακίνητο πλε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στηριάζεται ενώπιον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συμβολαιογράφου διορισμένου στην περιφέρεια του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συμβολαιογραφικού συλλόγου του τόπου εκτέλεσης ή,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 και αυτό δεν είναι δυνατό, του συμβολαιογραφικού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συλλόγου της πρωτεύουσας του Κράτους. Το άρθρο 959</w:t>
      </w:r>
      <w:r w:rsidR="007B672B" w:rsidRPr="005C3A95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εφαρμόζεται και στον πλειστηριασμό ακινήτων.».</w:t>
      </w:r>
    </w:p>
    <w:p w14:paraId="09833573" w14:textId="77777777" w:rsidR="00B54C2A" w:rsidRDefault="00B54C2A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</w:p>
    <w:p w14:paraId="32393038" w14:textId="4B3F3A6A" w:rsidR="005C3A95" w:rsidRPr="00943CF1" w:rsidRDefault="005C3A95" w:rsidP="00B54C2A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Περαιτέρω, με το</w:t>
      </w:r>
      <w:r w:rsidRPr="005C3A95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άρθρο 17</w:t>
      </w:r>
      <w:r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6</w:t>
      </w:r>
      <w:r w:rsidRPr="005C3A95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</w:t>
      </w:r>
      <w:r w:rsidRPr="005C3A95">
        <w:rPr>
          <w:rFonts w:ascii="Palatino Linotype" w:eastAsia="Times New Roman" w:hAnsi="Palatino Linotype" w:cs="Tahoma"/>
          <w:sz w:val="24"/>
          <w:szCs w:val="24"/>
          <w:lang w:eastAsia="x-none"/>
        </w:rPr>
        <w:t>του προαναφερομένου νόμου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που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μπεριέχει μεταβατικές διατάξεις, αντικαθίσταντ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ι οι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περ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ζ΄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η΄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ι΄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ια΄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και προστίθεται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περ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ιβ΄</w:t>
      </w:r>
      <w:proofErr w:type="spellEnd"/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στην παρ. 6 του 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ρθρ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 116 του ν. 4842/2021 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(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ΦΕΚ Α΄/13-10-2021</w:t>
      </w:r>
      <w:r w:rsidR="004E766B" w:rsidRPr="00250374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για την τα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χεία πολιτική δίκη, την προσαρμογή των διατ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ξεων της πολιτικής δικονομίας για την ψηφιοποίηση της πολιτικής δικα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οσύνης και άλλες τροποποιήσεις στον </w:t>
      </w:r>
      <w:proofErr w:type="spellStart"/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ΚΠολΔ</w:t>
      </w:r>
      <w:proofErr w:type="spellEnd"/>
      <w:r w:rsidR="00A172CE">
        <w:rPr>
          <w:rFonts w:ascii="Palatino Linotype" w:eastAsia="Times New Roman" w:hAnsi="Palatino Linotype" w:cs="Tahoma"/>
          <w:sz w:val="24"/>
          <w:szCs w:val="24"/>
          <w:lang w:eastAsia="x-none"/>
        </w:rPr>
        <w:t>)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B54C2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06E0CCD9" w14:textId="77777777" w:rsidR="00943CF1" w:rsidRPr="00943CF1" w:rsidRDefault="00943CF1" w:rsidP="00A172CE">
      <w:pPr>
        <w:spacing w:after="0" w:line="360" w:lineRule="auto"/>
        <w:jc w:val="center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Άρθρο 176</w:t>
      </w:r>
    </w:p>
    <w:p w14:paraId="2E8F35CA" w14:textId="391D8981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Μεταβατικές διατάξεις </w:t>
      </w:r>
      <w:r w:rsidR="00A172CE" w:rsidRPr="00B54C2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–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Αντικατάσταση</w:t>
      </w:r>
      <w:r w:rsidR="00A172CE" w:rsidRPr="00B54C2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των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ζ΄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,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η΄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,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θ΄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,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,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ια΄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και προσθήκη</w:t>
      </w:r>
      <w:r w:rsidR="00A172CE" w:rsidRPr="00B54C2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της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. </w:t>
      </w:r>
      <w:proofErr w:type="spellStart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ιβ΄</w:t>
      </w:r>
      <w:proofErr w:type="spellEnd"/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της παρ. 6 του άρθρου 116</w:t>
      </w:r>
      <w:r w:rsidR="00A172CE" w:rsidRPr="00B54C2A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του ν. 4842/2021</w:t>
      </w:r>
    </w:p>
    <w:p w14:paraId="044849F4" w14:textId="44956B56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>Στην παρ. 6 του άρθρου 116 του ν. 4842/2021 (Α’ 190)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αντικαθίστανται οι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ζ), η), θ), ι) και ια), προστίθεται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proofErr w:type="spellStart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ιβ) και η παρ. 6 του άρθρου 116 διαμο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φώνεται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ως εξής:</w:t>
      </w:r>
    </w:p>
    <w:p w14:paraId="47F2489B" w14:textId="7DA08D9F" w:rsidR="00943CF1" w:rsidRPr="00943CF1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«6. α) Το τέταρτο και πέμπτο εδάφιο της παρ. 1 του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άρθρου 933, όπως πρ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στίθενται με το άρθρο 57 του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παρόντος και το τρίτο εδάφιο της παρ. 2 του άρθρου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936 του Κώδικα Πολιτικής Δικονομίας, όπως προστίθεται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με το ά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θρο 58 του παρόντος, εφαρμόζονται για όσες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ανακοπές ασκηθούν μετά από την έναρξη ισχύος του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παρόντος νόμου.</w:t>
      </w:r>
    </w:p>
    <w:p w14:paraId="1C9A0EB0" w14:textId="2C5FB48A" w:rsidR="00943CF1" w:rsidRPr="00B54C2A" w:rsidRDefault="00943CF1" w:rsidP="00943CF1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β) Το άρθρο 937 του Κώδικα Πολιτικής Δικονομίας,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όπως τροποποιείται με το άρθρο 59 του παρόντος, εφαρμόζεται για τις αποφάσεις που θα δημοσ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ευθούν μετά</w:t>
      </w:r>
      <w:r w:rsidR="00A172CE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943CF1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από την έναρξη ισχύος του παρόντος νόμου.</w:t>
      </w:r>
    </w:p>
    <w:p w14:paraId="046F9679" w14:textId="09249DE9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γ) Το άρθρο 938 του Κώδικα Πολιτικής Δικονομίας,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όπως προστίθεται με το άρθρο 60 του παρόντος, εφαρμόζεται όταν η επίδοση της επιταγής προς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κτέλεση διενεργείται μετά από την έναρξη ισχύος του παρόντος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νόμου.</w:t>
      </w:r>
    </w:p>
    <w:p w14:paraId="3699CA28" w14:textId="50F2D1EA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δ) Η παρ. 2 του άρθρου 950 του Κώδικα Πολιτικής Δικονομίας, όπως τροπ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ποιείται με το άρθρο 61 του παρόντος, εφαρμόζεται και για τις εκκρεμείς αγωγές.</w:t>
      </w:r>
    </w:p>
    <w:p w14:paraId="20326935" w14:textId="07BD58C5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ε) Η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ε΄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της παρ. 2 του άρθρου 954 του Κώδικα Πολιτικής Δικονομίας, όπως τροποποιείται με το άρθρο 63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του παρόντος νόμου και η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γ΄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της παρ. 3 του άρθρου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953 του Κώδικα Πολιτικής Δικονομίας, όπως τροποποιεί-</w:t>
      </w:r>
    </w:p>
    <w:p w14:paraId="13E37C1C" w14:textId="7BC0DA9E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ται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με το άρθρο 62 του παρόντος, εφαρμόζονται σε όσες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κατασχέσεις κιν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η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τών επιβληθούν μετά από την έναρξη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ισχύος του παρόντος νόμου.</w:t>
      </w:r>
    </w:p>
    <w:p w14:paraId="2E0CA2A2" w14:textId="4243ACEA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στ) Οι παρ. 4, 5 και 8 του άρθρου 959, η παρ. 2 του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άρθρου 962, το τρίτο και έκτο εδάφιο της παρ. 1 του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άρθρου 965, το πρώτο εδάφιο της παρ. 4 του ά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θρου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965, η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α΄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της παρ. 1 του άρθρου 972, οι παρ. 1 και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3 του άρθρου 973, η παρ. 1 του άρθρου 997, η παρ. 1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του άρθρου 1004, το άρθρο 1009 και το δεύτερο εδάφιο του άρθρου 1018 του Κώδικα Πολιτικής Δικονομίας,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όπως τροποποιούνται με τον παρόντα, εφαρμόζονται για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όσους πλειστηριασμούς προσδιοριστούν μετά από την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έναρξη ισχύος του παρόντος νόμου.</w:t>
      </w:r>
    </w:p>
    <w:p w14:paraId="1DE44416" w14:textId="3773C2D4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 xml:space="preserve">ζ) Το άρθρο 966 του Κώδικα Πολιτικής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Δικονομίας,όπως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τροποποιείται με το άρθρο 67 του παρόντος, εφαρμόζεται σε πλειστηριασμούς, αρχικούς ή επ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ναληπτικούς, η διενέργεια των οποίον έχει οριστεί ή θα οριστεί σε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χρόνο μ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ταγενέστερο της έναρξης ισχύος του παρόντος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νόμου, ανεξάρτητα από τον χρόνο κατά τον οποίο έγινε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 προσδιορισμός του αρχικού πλειστηριασμού.</w:t>
      </w:r>
    </w:p>
    <w:p w14:paraId="5F1BF58F" w14:textId="0F1FA05C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η) Η παρ. 6 του άρθρου 973, όπως τροποποιείται με το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άρθρο 69 του παρ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ντος, εφαρμόζεται και στις εκκρεμείς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ανακοπές.</w:t>
      </w:r>
    </w:p>
    <w:p w14:paraId="0DFFDF00" w14:textId="05BB1960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θ) Το δεύτερο εδάφιο της παρ. 1, το πρώτο, τρίτο και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πέμπτο εδάφιο της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. 3, η </w:t>
      </w:r>
      <w:proofErr w:type="spellStart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περ</w:t>
      </w:r>
      <w:proofErr w:type="spellEnd"/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. 4 του άρθρου 975, το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τελευταίο εδάφιο της παρ. 3 του άρθρου 977 και η παρ.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2 του άρθρου 977Α του Κώδικα Πολιτικής Δικονομίας,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όπως τροποποιούνται με τον παρόντα, εφαρμόζονται,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όταν ο πίνακας κατάταξης αφορά σε πλειστηριασμό,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που διενεργήθηκε μετά από την έναρξη ισχύος του</w:t>
      </w:r>
      <w:r w:rsidR="00250374" w:rsidRPr="0025037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παρόντος νόμου.</w:t>
      </w:r>
    </w:p>
    <w:p w14:paraId="79E91C23" w14:textId="5422FD70" w:rsidR="00354344" w:rsidRPr="00354344" w:rsidRDefault="00354344" w:rsidP="00354344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ι) Το δεύτερο εδάφιο της παρ. 1 του άρθρου 979 του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Κώδικα Πολιτικής Δικ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νομίας, όπως προστίθεται με το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άρθρο 73 του παρόντος νόμου, καθώς και το δεύτερο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και τρίτο εδάφιο της παρ. 2 του άρθρου 985 του Κώδικα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Πολιτικής Δικονομίας, όπως προστίθενται με το άρθρο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74 του παρόντος, εφαρμόζονται από την έναρξη ισχύος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Pr="00354344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του παρόντος νόμου.</w:t>
      </w:r>
    </w:p>
    <w:p w14:paraId="3405C68B" w14:textId="638F851E" w:rsidR="00AA6E50" w:rsidRPr="00AA6E50" w:rsidRDefault="00354344" w:rsidP="00AA6E50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ια) Το τελευταίο εδάφιο του άρθρου 986 του Κώδικα</w:t>
      </w:r>
      <w:r w:rsidR="00AA6E50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του παρόντος, εφαρμ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ζεται σε όσες ανακοπές ασκηθούν</w:t>
      </w:r>
      <w:r w:rsidR="00AA6E50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μετά την έναρξη ισχύος του παρόντος ν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μου και σε όσες</w:t>
      </w:r>
      <w:r w:rsidR="00AA6E50"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</w:t>
      </w:r>
      <w:r w:rsidR="00AA6E50"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ανακοπές εκκρεμούν και έχουν εισαχθεί κατά την ειδική</w:t>
      </w:r>
    </w:p>
    <w:p w14:paraId="5C9E93F1" w14:textId="77777777" w:rsidR="00AA6E50" w:rsidRPr="00AA6E50" w:rsidRDefault="00AA6E50" w:rsidP="00AA6E50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διαδικασία των περιουσιακών διαφορών.</w:t>
      </w:r>
    </w:p>
    <w:p w14:paraId="3DD6E62C" w14:textId="294C49D8" w:rsidR="00AA6E50" w:rsidRPr="00AA6E50" w:rsidRDefault="00AA6E50" w:rsidP="00AA6E50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ιβ) Οι παρ. 1, 2 και 4 του άρθρου 995 του Κώδικα Πολιτικής Δικονομίας, </w:t>
      </w:r>
      <w:r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πως τροποποιούνται με το άρθρο 77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του παρόντος, εφαρμόζονται για επιδ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ό</w:t>
      </w: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σεις που πρόκει</w:t>
      </w:r>
      <w:r w:rsidRPr="00AA6E50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ται να γίνουν μετά από την έναρξη ισχύος του παρόντος</w:t>
      </w:r>
    </w:p>
    <w:p w14:paraId="7BD2598C" w14:textId="6EB99C43" w:rsidR="00AA6E50" w:rsidRPr="00943CF1" w:rsidRDefault="00AA6E50" w:rsidP="00AA6E50">
      <w:pPr>
        <w:spacing w:after="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B54C2A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νόμου.»</w:t>
      </w:r>
    </w:p>
    <w:p w14:paraId="647D851F" w14:textId="3BD799DD" w:rsidR="00A53994" w:rsidRPr="000A38A9" w:rsidRDefault="00A53994" w:rsidP="000A38A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041C5F96" w:rsidR="00A53994" w:rsidRPr="000A38A9" w:rsidRDefault="00A53994" w:rsidP="000A38A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6E4CEDDC" w:rsidR="0032672E" w:rsidRPr="000A38A9" w:rsidRDefault="00A53994" w:rsidP="000A38A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01A61" w14:textId="77777777" w:rsidR="00AE7510" w:rsidRDefault="00AE7510" w:rsidP="00654B3B">
      <w:pPr>
        <w:spacing w:after="0" w:line="240" w:lineRule="auto"/>
      </w:pPr>
      <w:r>
        <w:separator/>
      </w:r>
    </w:p>
  </w:endnote>
  <w:endnote w:type="continuationSeparator" w:id="0">
    <w:p w14:paraId="77F73A19" w14:textId="77777777" w:rsidR="00AE7510" w:rsidRDefault="00AE751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1FA8" w14:textId="77777777" w:rsidR="00AE7510" w:rsidRDefault="00AE7510" w:rsidP="00654B3B">
      <w:pPr>
        <w:spacing w:after="0" w:line="240" w:lineRule="auto"/>
      </w:pPr>
      <w:r>
        <w:separator/>
      </w:r>
    </w:p>
  </w:footnote>
  <w:footnote w:type="continuationSeparator" w:id="0">
    <w:p w14:paraId="22AB1CD8" w14:textId="77777777" w:rsidR="00AE7510" w:rsidRDefault="00AE751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3E96"/>
    <w:rsid w:val="000F7A9C"/>
    <w:rsid w:val="00101069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C590F"/>
    <w:rsid w:val="001D2E51"/>
    <w:rsid w:val="001D2FF8"/>
    <w:rsid w:val="001F0CF1"/>
    <w:rsid w:val="00205021"/>
    <w:rsid w:val="00250374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54344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2AB"/>
    <w:rsid w:val="004E5658"/>
    <w:rsid w:val="004E766B"/>
    <w:rsid w:val="004F55B8"/>
    <w:rsid w:val="005068D5"/>
    <w:rsid w:val="00531CEB"/>
    <w:rsid w:val="005420FB"/>
    <w:rsid w:val="0054297F"/>
    <w:rsid w:val="00551D1D"/>
    <w:rsid w:val="00554F39"/>
    <w:rsid w:val="005C3A95"/>
    <w:rsid w:val="005E1A16"/>
    <w:rsid w:val="005E63FA"/>
    <w:rsid w:val="005F2859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9230C"/>
    <w:rsid w:val="006B631C"/>
    <w:rsid w:val="006D5A00"/>
    <w:rsid w:val="006E040A"/>
    <w:rsid w:val="006E229B"/>
    <w:rsid w:val="006F1679"/>
    <w:rsid w:val="00702B65"/>
    <w:rsid w:val="00724B61"/>
    <w:rsid w:val="0073533A"/>
    <w:rsid w:val="00747136"/>
    <w:rsid w:val="00761069"/>
    <w:rsid w:val="007951D1"/>
    <w:rsid w:val="007B672B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43CF1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172C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A6E50"/>
    <w:rsid w:val="00AC6987"/>
    <w:rsid w:val="00AC7797"/>
    <w:rsid w:val="00AD4E95"/>
    <w:rsid w:val="00AE443D"/>
    <w:rsid w:val="00AE7510"/>
    <w:rsid w:val="00AF286C"/>
    <w:rsid w:val="00B02F94"/>
    <w:rsid w:val="00B05366"/>
    <w:rsid w:val="00B17D99"/>
    <w:rsid w:val="00B3059A"/>
    <w:rsid w:val="00B41547"/>
    <w:rsid w:val="00B441E2"/>
    <w:rsid w:val="00B529AF"/>
    <w:rsid w:val="00B54C2A"/>
    <w:rsid w:val="00B60F6A"/>
    <w:rsid w:val="00B6445A"/>
    <w:rsid w:val="00BA5083"/>
    <w:rsid w:val="00BD1030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CD3E5A"/>
    <w:rsid w:val="00D0579D"/>
    <w:rsid w:val="00D0667C"/>
    <w:rsid w:val="00D529D6"/>
    <w:rsid w:val="00D5354A"/>
    <w:rsid w:val="00D77081"/>
    <w:rsid w:val="00D813AE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D7E0B"/>
    <w:rsid w:val="00EE07AF"/>
    <w:rsid w:val="00EE28D1"/>
    <w:rsid w:val="00F0246F"/>
    <w:rsid w:val="00F27E9B"/>
    <w:rsid w:val="00F50351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E2D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A1CE-F7C0-416B-9E2E-E174B69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2021-11-15T08:53:00Z</cp:lastPrinted>
  <dcterms:created xsi:type="dcterms:W3CDTF">2021-11-15T14:31:00Z</dcterms:created>
  <dcterms:modified xsi:type="dcterms:W3CDTF">2021-11-15T14:31:00Z</dcterms:modified>
</cp:coreProperties>
</file>