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577DBD" w:rsidTr="00E02CAB">
        <w:tc>
          <w:tcPr>
            <w:tcW w:w="4041" w:type="dxa"/>
            <w:hideMark/>
          </w:tcPr>
          <w:p w:rsidR="00577DBD" w:rsidRDefault="00216347" w:rsidP="00577DBD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</w:rPr>
              <w:drawing>
                <wp:inline distT="0" distB="0" distL="0" distR="0">
                  <wp:extent cx="571500" cy="5588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577DBD" w:rsidRDefault="00577DBD" w:rsidP="00577DBD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:rsidR="00294D22" w:rsidRPr="00294D22" w:rsidRDefault="00294D22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ΕΠΕΙΓΟΥΣΑ</w:t>
            </w:r>
          </w:p>
          <w:p w:rsidR="00294D22" w:rsidRDefault="00294D22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  <w:lang w:val="en-US"/>
              </w:rPr>
            </w:pPr>
          </w:p>
          <w:p w:rsidR="00577DBD" w:rsidRDefault="00D12B42" w:rsidP="00294D2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 w:rsidRPr="00D12B42"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ΑΝΑΚΟΙΝΩΣΗ</w:t>
            </w:r>
          </w:p>
          <w:p w:rsidR="00294D22" w:rsidRPr="00D12B42" w:rsidRDefault="00294D22" w:rsidP="00D12B42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</w:p>
        </w:tc>
      </w:tr>
      <w:tr w:rsidR="00577DBD" w:rsidRPr="00871882" w:rsidTr="00174805">
        <w:tc>
          <w:tcPr>
            <w:tcW w:w="4041" w:type="dxa"/>
            <w:hideMark/>
          </w:tcPr>
          <w:p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577DBD" w:rsidRPr="005972BE" w:rsidRDefault="00577DBD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174805" w:rsidRPr="00871882" w:rsidTr="00E02CAB">
        <w:tc>
          <w:tcPr>
            <w:tcW w:w="4041" w:type="dxa"/>
            <w:hideMark/>
          </w:tcPr>
          <w:p w:rsidR="00174805" w:rsidRPr="00871882" w:rsidRDefault="00174805" w:rsidP="0017480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74805" w:rsidRPr="005972BE" w:rsidRDefault="00174805" w:rsidP="00856088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5152D5">
              <w:rPr>
                <w:rFonts w:ascii="Book Antiqua" w:hAnsi="Book Antiqua" w:cs="Lucida Sans Unicode"/>
              </w:rPr>
              <w:t xml:space="preserve"> </w:t>
            </w:r>
            <w:r w:rsidR="00294D22">
              <w:rPr>
                <w:rFonts w:ascii="Book Antiqua" w:hAnsi="Book Antiqua" w:cs="Lucida Sans Unicode"/>
              </w:rPr>
              <w:t>25</w:t>
            </w:r>
            <w:r w:rsidR="00BF24C5">
              <w:rPr>
                <w:rFonts w:ascii="Book Antiqua" w:hAnsi="Book Antiqua" w:cs="Lucida Sans Unicode"/>
              </w:rPr>
              <w:t xml:space="preserve"> Ιανουαρίου 2022</w:t>
            </w:r>
          </w:p>
        </w:tc>
      </w:tr>
      <w:tr w:rsidR="00174805" w:rsidRPr="00871882" w:rsidTr="00174805">
        <w:tc>
          <w:tcPr>
            <w:tcW w:w="4041" w:type="dxa"/>
            <w:hideMark/>
          </w:tcPr>
          <w:p w:rsidR="00174805" w:rsidRPr="00871882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174805" w:rsidRPr="00871882" w:rsidRDefault="00174805" w:rsidP="0017480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74805" w:rsidRPr="00871882" w:rsidTr="00E02CAB">
        <w:tc>
          <w:tcPr>
            <w:tcW w:w="4041" w:type="dxa"/>
            <w:hideMark/>
          </w:tcPr>
          <w:p w:rsidR="00174805" w:rsidRPr="00D72F3D" w:rsidRDefault="00174805" w:rsidP="0017480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:rsidR="00174805" w:rsidRPr="00871882" w:rsidRDefault="00174805" w:rsidP="0017480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174805" w:rsidRPr="00741DBB" w:rsidRDefault="00174805" w:rsidP="00856088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</w:p>
        </w:tc>
      </w:tr>
      <w:tr w:rsidR="00577DBD" w:rsidRPr="00871882" w:rsidTr="00E02CAB">
        <w:tc>
          <w:tcPr>
            <w:tcW w:w="4041" w:type="dxa"/>
            <w:hideMark/>
          </w:tcPr>
          <w:p w:rsidR="00577DBD" w:rsidRPr="00871882" w:rsidRDefault="00577DBD" w:rsidP="00577DBD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577DBD" w:rsidRPr="00F72F68" w:rsidRDefault="00577DBD" w:rsidP="00577DB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7DBD" w:rsidRPr="00871882" w:rsidTr="00E02CAB">
        <w:tc>
          <w:tcPr>
            <w:tcW w:w="4041" w:type="dxa"/>
          </w:tcPr>
          <w:p w:rsidR="00577DBD" w:rsidRPr="00871882" w:rsidRDefault="00577DBD" w:rsidP="00577DBD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:rsidR="00577DBD" w:rsidRPr="00871882" w:rsidRDefault="00577DBD" w:rsidP="00577DBD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577DBD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:rsidR="00577DBD" w:rsidRPr="002A6A9A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7DBD" w:rsidRPr="00871882" w:rsidTr="00E02CAB">
        <w:tc>
          <w:tcPr>
            <w:tcW w:w="4041" w:type="dxa"/>
            <w:hideMark/>
          </w:tcPr>
          <w:p w:rsidR="00577DBD" w:rsidRPr="00871882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:rsidR="00577DBD" w:rsidRPr="00577DBD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:rsidR="00577DBD" w:rsidRPr="00577DBD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:rsidR="00577DBD" w:rsidRPr="00871882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</w:p>
          <w:p w:rsidR="00577DBD" w:rsidRPr="00CC1810" w:rsidRDefault="00577DBD" w:rsidP="00577DBD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</w:tcPr>
          <w:p w:rsidR="00577DBD" w:rsidRPr="00871882" w:rsidRDefault="00577DBD" w:rsidP="00577DBD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577DBD" w:rsidRPr="00190654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:rsidR="00577DBD" w:rsidRPr="00190654" w:rsidRDefault="00577DBD" w:rsidP="00577DBD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</w:t>
            </w:r>
            <w:r w:rsidR="00AD13FA">
              <w:rPr>
                <w:rFonts w:ascii="Book Antiqua" w:hAnsi="Book Antiqua"/>
              </w:rPr>
              <w:t xml:space="preserve"> </w:t>
            </w:r>
            <w:r w:rsidRPr="00190654">
              <w:rPr>
                <w:rFonts w:ascii="Book Antiqua" w:hAnsi="Book Antiqua"/>
              </w:rPr>
              <w:t>Συλλόγου</w:t>
            </w:r>
          </w:p>
        </w:tc>
      </w:tr>
    </w:tbl>
    <w:p w:rsidR="00577DBD" w:rsidRPr="00190654" w:rsidRDefault="00577DBD" w:rsidP="00577DBD">
      <w:pPr>
        <w:spacing w:after="0" w:line="240" w:lineRule="auto"/>
        <w:ind w:right="-625"/>
        <w:jc w:val="both"/>
        <w:rPr>
          <w:sz w:val="16"/>
          <w:szCs w:val="16"/>
        </w:rPr>
      </w:pPr>
    </w:p>
    <w:p w:rsidR="00577DBD" w:rsidRPr="00BC5A3A" w:rsidRDefault="00577DBD" w:rsidP="00577DBD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AD13FA" w:rsidRPr="004F5CD7" w:rsidRDefault="00AD13FA" w:rsidP="00AD13FA">
      <w:pPr>
        <w:spacing w:before="120" w:after="36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4F5CD7">
        <w:rPr>
          <w:rFonts w:ascii="Palatino Linotype" w:hAnsi="Palatino Linotype"/>
          <w:b/>
          <w:bCs/>
          <w:sz w:val="24"/>
          <w:szCs w:val="24"/>
          <w:u w:val="single"/>
        </w:rPr>
        <w:t>ΘΕΜΑ</w:t>
      </w:r>
      <w:r w:rsidRPr="004F5CD7">
        <w:rPr>
          <w:rFonts w:ascii="Palatino Linotype" w:hAnsi="Palatino Linotype"/>
          <w:b/>
          <w:bCs/>
          <w:sz w:val="24"/>
          <w:szCs w:val="24"/>
        </w:rPr>
        <w:t xml:space="preserve">: </w:t>
      </w:r>
      <w:r w:rsidR="007E2492" w:rsidRPr="007E2492">
        <w:rPr>
          <w:rFonts w:ascii="Palatino Linotype" w:hAnsi="Palatino Linotype"/>
          <w:b/>
          <w:bCs/>
          <w:sz w:val="24"/>
          <w:szCs w:val="24"/>
        </w:rPr>
        <w:t>«Μη διενέργεια πλειστηριασμών την Τετάρτη 26 Ιανουαρίου 2022»</w:t>
      </w:r>
    </w:p>
    <w:p w:rsidR="007E2492" w:rsidRPr="007E2492" w:rsidRDefault="007E2492" w:rsidP="007E2492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Μετά την ανακοινωθείσα σήμερα το πρωί παράταση της Κατάστασης Ειδικής Κινητοποίησης Πολιτικής Προστασίας για τις Περιφέρειες Αττικής, Κρήτης και Νοτίου Αιγαίου</w:t>
      </w:r>
      <w:r w:rsidR="009A5A46" w:rsidRPr="009A5A46">
        <w:rPr>
          <w:rFonts w:ascii="Palatino Linotype" w:hAnsi="Palatino Linotype"/>
          <w:sz w:val="24"/>
          <w:szCs w:val="24"/>
        </w:rPr>
        <w:t xml:space="preserve"> </w:t>
      </w:r>
      <w:r w:rsidR="009A5A46">
        <w:rPr>
          <w:rFonts w:ascii="Palatino Linotype" w:hAnsi="Palatino Linotype"/>
          <w:sz w:val="24"/>
          <w:szCs w:val="24"/>
        </w:rPr>
        <w:t xml:space="preserve">για την Τετάρτη 26 Ιανουαρίου 2021, </w:t>
      </w:r>
      <w:r w:rsidRPr="007E2492">
        <w:rPr>
          <w:rFonts w:ascii="Palatino Linotype" w:hAnsi="Palatino Linotype"/>
          <w:sz w:val="24"/>
          <w:szCs w:val="24"/>
        </w:rPr>
        <w:t>σας γνωστοποιούμε ότι δεν θα πραγματοποιηθούν πλειστηριασμοί στις ανωτέρω περιφέρειες αύριο Τετάρτη 26</w:t>
      </w:r>
      <w:r w:rsidR="009A5A46" w:rsidRPr="009A5A46">
        <w:rPr>
          <w:rFonts w:ascii="Palatino Linotype" w:hAnsi="Palatino Linotype"/>
          <w:sz w:val="24"/>
          <w:szCs w:val="24"/>
          <w:vertAlign w:val="superscript"/>
        </w:rPr>
        <w:t>η</w:t>
      </w:r>
      <w:r w:rsidR="009A5A46">
        <w:rPr>
          <w:rFonts w:ascii="Palatino Linotype" w:hAnsi="Palatino Linotype"/>
          <w:sz w:val="24"/>
          <w:szCs w:val="24"/>
        </w:rPr>
        <w:t xml:space="preserve"> </w:t>
      </w:r>
      <w:r w:rsidRPr="007E2492">
        <w:rPr>
          <w:rFonts w:ascii="Palatino Linotype" w:hAnsi="Palatino Linotype"/>
          <w:sz w:val="24"/>
          <w:szCs w:val="24"/>
        </w:rPr>
        <w:t>Ιανουαρίου 2022.</w:t>
      </w:r>
    </w:p>
    <w:p w:rsidR="007E2492" w:rsidRPr="007E2492" w:rsidRDefault="007E2492" w:rsidP="007E2492">
      <w:pPr>
        <w:spacing w:before="240"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 xml:space="preserve">Επιπλέον σας ενημερώνουμε ότι στις ανωτέρω </w:t>
      </w:r>
      <w:r w:rsidR="009A5A46">
        <w:rPr>
          <w:rFonts w:ascii="Palatino Linotype" w:hAnsi="Palatino Linotype"/>
          <w:sz w:val="24"/>
          <w:szCs w:val="24"/>
        </w:rPr>
        <w:t>Π</w:t>
      </w:r>
      <w:r w:rsidRPr="007E2492">
        <w:rPr>
          <w:rFonts w:ascii="Palatino Linotype" w:hAnsi="Palatino Linotype"/>
          <w:sz w:val="24"/>
          <w:szCs w:val="24"/>
        </w:rPr>
        <w:t>εριφέρειες ήδη με την υπ’ αριθμ. 4034/24-01-2022 απόφαση του Υπουργού Δικαιοσύνης (ΦΕΚ Β΄186) έχει ανασταλεί η λειτουργία των Δικαστηρίων και Εισαγγελιών για τ</w:t>
      </w:r>
      <w:r w:rsidR="009A5A46">
        <w:rPr>
          <w:rFonts w:ascii="Palatino Linotype" w:hAnsi="Palatino Linotype"/>
          <w:sz w:val="24"/>
          <w:szCs w:val="24"/>
        </w:rPr>
        <w:t>ην</w:t>
      </w:r>
      <w:r w:rsidRPr="007E2492">
        <w:rPr>
          <w:rFonts w:ascii="Palatino Linotype" w:hAnsi="Palatino Linotype"/>
          <w:sz w:val="24"/>
          <w:szCs w:val="24"/>
        </w:rPr>
        <w:t xml:space="preserve"> 25</w:t>
      </w:r>
      <w:r w:rsidR="009A5A46" w:rsidRPr="009A5A46">
        <w:rPr>
          <w:rFonts w:ascii="Palatino Linotype" w:hAnsi="Palatino Linotype"/>
          <w:sz w:val="24"/>
          <w:szCs w:val="24"/>
          <w:vertAlign w:val="superscript"/>
        </w:rPr>
        <w:t>η</w:t>
      </w:r>
      <w:r w:rsidR="009A5A46">
        <w:rPr>
          <w:rFonts w:ascii="Palatino Linotype" w:hAnsi="Palatino Linotype"/>
          <w:sz w:val="24"/>
          <w:szCs w:val="24"/>
        </w:rPr>
        <w:t xml:space="preserve"> </w:t>
      </w:r>
      <w:r w:rsidRPr="007E2492">
        <w:rPr>
          <w:rFonts w:ascii="Palatino Linotype" w:hAnsi="Palatino Linotype"/>
          <w:sz w:val="24"/>
          <w:szCs w:val="24"/>
        </w:rPr>
        <w:t>και 26</w:t>
      </w:r>
      <w:r w:rsidR="009A5A46" w:rsidRPr="009A5A46">
        <w:rPr>
          <w:rFonts w:ascii="Palatino Linotype" w:hAnsi="Palatino Linotype"/>
          <w:sz w:val="24"/>
          <w:szCs w:val="24"/>
          <w:vertAlign w:val="superscript"/>
        </w:rPr>
        <w:t>η</w:t>
      </w:r>
      <w:r w:rsidR="009A5A46">
        <w:rPr>
          <w:rFonts w:ascii="Palatino Linotype" w:hAnsi="Palatino Linotype"/>
          <w:sz w:val="24"/>
          <w:szCs w:val="24"/>
        </w:rPr>
        <w:t xml:space="preserve"> </w:t>
      </w:r>
      <w:r w:rsidRPr="007E2492">
        <w:rPr>
          <w:rFonts w:ascii="Palatino Linotype" w:hAnsi="Palatino Linotype"/>
          <w:sz w:val="24"/>
          <w:szCs w:val="24"/>
        </w:rPr>
        <w:t>Ιανουαρίου 2022.</w:t>
      </w:r>
    </w:p>
    <w:p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Με τιμή</w:t>
      </w:r>
    </w:p>
    <w:p w:rsidR="007E2492" w:rsidRPr="007E2492" w:rsidRDefault="007E2492" w:rsidP="009A5A46">
      <w:pPr>
        <w:spacing w:before="240" w:after="0" w:line="360" w:lineRule="auto"/>
        <w:ind w:firstLine="720"/>
        <w:jc w:val="center"/>
        <w:rPr>
          <w:rFonts w:ascii="Palatino Linotype" w:hAnsi="Palatino Linotype"/>
          <w:sz w:val="24"/>
          <w:szCs w:val="24"/>
        </w:rPr>
      </w:pPr>
    </w:p>
    <w:p w:rsidR="007E2492" w:rsidRPr="007E2492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Ο Πρόεδρος</w:t>
      </w:r>
    </w:p>
    <w:p w:rsidR="00AD13FA" w:rsidRPr="004F5CD7" w:rsidRDefault="007E2492" w:rsidP="009A5A46">
      <w:pPr>
        <w:spacing w:before="240"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7E2492">
        <w:rPr>
          <w:rFonts w:ascii="Palatino Linotype" w:hAnsi="Palatino Linotype"/>
          <w:sz w:val="24"/>
          <w:szCs w:val="24"/>
        </w:rPr>
        <w:t>Γεώργιος Ρούσκας</w:t>
      </w:r>
    </w:p>
    <w:sectPr w:rsidR="00AD13FA" w:rsidRPr="004F5CD7" w:rsidSect="00E924E3">
      <w:pgSz w:w="11906" w:h="16838"/>
      <w:pgMar w:top="1440" w:right="1800" w:bottom="1134" w:left="180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AFE"/>
    <w:multiLevelType w:val="hybridMultilevel"/>
    <w:tmpl w:val="FECEE038"/>
    <w:lvl w:ilvl="0" w:tplc="1DC2E85E">
      <w:numFmt w:val="bullet"/>
      <w:lvlText w:val="-"/>
      <w:lvlJc w:val="left"/>
      <w:pPr>
        <w:ind w:left="927" w:hanging="360"/>
      </w:pPr>
      <w:rPr>
        <w:rFonts w:ascii="Book Antiqua" w:eastAsia="Calibri" w:hAnsi="Book Antiqu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D"/>
    <w:rsid w:val="000155D8"/>
    <w:rsid w:val="0005466A"/>
    <w:rsid w:val="00060078"/>
    <w:rsid w:val="001261AE"/>
    <w:rsid w:val="00126401"/>
    <w:rsid w:val="00153E66"/>
    <w:rsid w:val="00174805"/>
    <w:rsid w:val="001A08B2"/>
    <w:rsid w:val="001A4BA1"/>
    <w:rsid w:val="001F4DD8"/>
    <w:rsid w:val="00216347"/>
    <w:rsid w:val="00221A82"/>
    <w:rsid w:val="0024706D"/>
    <w:rsid w:val="00294D22"/>
    <w:rsid w:val="002C5FBC"/>
    <w:rsid w:val="002C7CF1"/>
    <w:rsid w:val="002E426C"/>
    <w:rsid w:val="00313445"/>
    <w:rsid w:val="00371AF7"/>
    <w:rsid w:val="0041359E"/>
    <w:rsid w:val="0048066D"/>
    <w:rsid w:val="00481634"/>
    <w:rsid w:val="004823EB"/>
    <w:rsid w:val="004971A8"/>
    <w:rsid w:val="004B46E4"/>
    <w:rsid w:val="004D7A26"/>
    <w:rsid w:val="004E4C90"/>
    <w:rsid w:val="004F5CD7"/>
    <w:rsid w:val="005136FD"/>
    <w:rsid w:val="005152D5"/>
    <w:rsid w:val="0051661A"/>
    <w:rsid w:val="00544B93"/>
    <w:rsid w:val="00565F7A"/>
    <w:rsid w:val="00577DBD"/>
    <w:rsid w:val="005972BE"/>
    <w:rsid w:val="005A5EE6"/>
    <w:rsid w:val="005B3587"/>
    <w:rsid w:val="005B7292"/>
    <w:rsid w:val="005F7575"/>
    <w:rsid w:val="006935DD"/>
    <w:rsid w:val="00695EE8"/>
    <w:rsid w:val="006B058A"/>
    <w:rsid w:val="006F4048"/>
    <w:rsid w:val="006F7330"/>
    <w:rsid w:val="00741DBB"/>
    <w:rsid w:val="00763CB8"/>
    <w:rsid w:val="00763F28"/>
    <w:rsid w:val="007851C0"/>
    <w:rsid w:val="00797B17"/>
    <w:rsid w:val="007B198F"/>
    <w:rsid w:val="007E2492"/>
    <w:rsid w:val="007F5F4E"/>
    <w:rsid w:val="00807E64"/>
    <w:rsid w:val="00856088"/>
    <w:rsid w:val="00861B0D"/>
    <w:rsid w:val="00863375"/>
    <w:rsid w:val="00866115"/>
    <w:rsid w:val="00897334"/>
    <w:rsid w:val="0090201D"/>
    <w:rsid w:val="00911E52"/>
    <w:rsid w:val="009171D8"/>
    <w:rsid w:val="00961D2B"/>
    <w:rsid w:val="009A5A46"/>
    <w:rsid w:val="009F6A7F"/>
    <w:rsid w:val="00A2300F"/>
    <w:rsid w:val="00A42151"/>
    <w:rsid w:val="00A57483"/>
    <w:rsid w:val="00A63CC7"/>
    <w:rsid w:val="00AD13FA"/>
    <w:rsid w:val="00AF0335"/>
    <w:rsid w:val="00B519A0"/>
    <w:rsid w:val="00B70BCA"/>
    <w:rsid w:val="00BA212C"/>
    <w:rsid w:val="00BC2DBE"/>
    <w:rsid w:val="00BF24C5"/>
    <w:rsid w:val="00BF2D93"/>
    <w:rsid w:val="00BF3D9B"/>
    <w:rsid w:val="00C178E0"/>
    <w:rsid w:val="00C34604"/>
    <w:rsid w:val="00C419FC"/>
    <w:rsid w:val="00C51A42"/>
    <w:rsid w:val="00C703E6"/>
    <w:rsid w:val="00CB1BFC"/>
    <w:rsid w:val="00CB73C5"/>
    <w:rsid w:val="00CD4381"/>
    <w:rsid w:val="00CF13DB"/>
    <w:rsid w:val="00CF328A"/>
    <w:rsid w:val="00D12B42"/>
    <w:rsid w:val="00D1743D"/>
    <w:rsid w:val="00D60719"/>
    <w:rsid w:val="00D63523"/>
    <w:rsid w:val="00D72F3D"/>
    <w:rsid w:val="00D75268"/>
    <w:rsid w:val="00D85206"/>
    <w:rsid w:val="00D87625"/>
    <w:rsid w:val="00DD65D2"/>
    <w:rsid w:val="00E02CAB"/>
    <w:rsid w:val="00E25135"/>
    <w:rsid w:val="00E808FE"/>
    <w:rsid w:val="00E924E3"/>
    <w:rsid w:val="00EC0193"/>
    <w:rsid w:val="00EC107F"/>
    <w:rsid w:val="00EE235D"/>
    <w:rsid w:val="00EE3F3D"/>
    <w:rsid w:val="00F01BA3"/>
    <w:rsid w:val="00F15C56"/>
    <w:rsid w:val="00F234EB"/>
    <w:rsid w:val="00F2696E"/>
    <w:rsid w:val="00F3232B"/>
    <w:rsid w:val="00F97FDC"/>
    <w:rsid w:val="00FA40BD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26F520-7A8F-7943-AC26-435DEE6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7DBD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77DBD"/>
    <w:rPr>
      <w:rFonts w:ascii="Verdana" w:eastAsia="Times New Roman" w:hAnsi="Verdana" w:cs="Lucida Sans Unicode"/>
      <w:sz w:val="24"/>
      <w:u w:val="single"/>
    </w:rPr>
  </w:style>
  <w:style w:type="paragraph" w:styleId="a3">
    <w:name w:val="Body Text"/>
    <w:basedOn w:val="a"/>
    <w:link w:val="Char"/>
    <w:semiHidden/>
    <w:rsid w:val="00577DBD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semiHidden/>
    <w:rsid w:val="00577DBD"/>
    <w:rPr>
      <w:rFonts w:ascii="Verdana" w:eastAsia="Times New Roman" w:hAnsi="Verdana" w:cs="Lucida Sans Unicode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371AF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0">
    <w:name w:val="Κείμενο πλαισίου Char"/>
    <w:link w:val="a4"/>
    <w:uiPriority w:val="99"/>
    <w:semiHidden/>
    <w:rsid w:val="00371AF7"/>
    <w:rPr>
      <w:rFonts w:ascii="Segoe UI" w:hAnsi="Segoe UI" w:cs="Segoe UI"/>
      <w:sz w:val="18"/>
      <w:szCs w:val="18"/>
      <w:lang w:eastAsia="en-US"/>
    </w:rPr>
  </w:style>
  <w:style w:type="character" w:styleId="-">
    <w:name w:val="Hyperlink"/>
    <w:uiPriority w:val="99"/>
    <w:semiHidden/>
    <w:unhideWhenUsed/>
    <w:rsid w:val="00897334"/>
    <w:rPr>
      <w:color w:val="0000FF"/>
      <w:u w:val="single"/>
    </w:rPr>
  </w:style>
  <w:style w:type="table" w:styleId="a5">
    <w:name w:val="Table Grid"/>
    <w:basedOn w:val="a1"/>
    <w:uiPriority w:val="59"/>
    <w:rsid w:val="005B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F84-491E-4C33-9699-16C2FFD42A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tritos9</dc:creator>
  <cp:keywords/>
  <cp:lastModifiedBy>Theodoros Kalamaras</cp:lastModifiedBy>
  <cp:revision>2</cp:revision>
  <cp:lastPrinted>2020-10-21T10:58:00Z</cp:lastPrinted>
  <dcterms:created xsi:type="dcterms:W3CDTF">2022-01-25T13:07:00Z</dcterms:created>
  <dcterms:modified xsi:type="dcterms:W3CDTF">2022-01-25T13:07:00Z</dcterms:modified>
</cp:coreProperties>
</file>