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119"/>
        <w:tblW w:w="9420" w:type="dxa"/>
        <w:tblLayout w:type="fixed"/>
        <w:tblCellMar>
          <w:left w:w="70" w:type="dxa"/>
          <w:right w:w="70" w:type="dxa"/>
        </w:tblCellMar>
        <w:tblLook w:val="04A0" w:firstRow="1" w:lastRow="0" w:firstColumn="1" w:lastColumn="0" w:noHBand="0" w:noVBand="1"/>
      </w:tblPr>
      <w:tblGrid>
        <w:gridCol w:w="4036"/>
        <w:gridCol w:w="567"/>
        <w:gridCol w:w="4817"/>
      </w:tblGrid>
      <w:tr w:rsidR="0076356E" w14:paraId="5C665198" w14:textId="77777777" w:rsidTr="0076356E">
        <w:trPr>
          <w:trHeight w:val="948"/>
        </w:trPr>
        <w:tc>
          <w:tcPr>
            <w:tcW w:w="4039" w:type="dxa"/>
            <w:hideMark/>
          </w:tcPr>
          <w:p w14:paraId="2A092C83" w14:textId="55DFB11F" w:rsidR="0076356E" w:rsidRDefault="0076356E">
            <w:pPr>
              <w:ind w:right="-68"/>
              <w:jc w:val="center"/>
              <w:rPr>
                <w:rFonts w:ascii="Palatino Linotype" w:hAnsi="Palatino Linotype"/>
              </w:rPr>
            </w:pPr>
            <w:r>
              <w:rPr>
                <w:rFonts w:ascii="Palatino Linotype" w:hAnsi="Palatino Linotype"/>
                <w:noProof/>
                <w:lang w:eastAsia="el-GR"/>
              </w:rPr>
              <w:drawing>
                <wp:inline distT="0" distB="0" distL="0" distR="0" wp14:anchorId="40E19B22" wp14:editId="3D8C993E">
                  <wp:extent cx="57912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567" w:type="dxa"/>
          </w:tcPr>
          <w:p w14:paraId="3CFD6A2B" w14:textId="77777777" w:rsidR="0076356E" w:rsidRDefault="0076356E">
            <w:pPr>
              <w:rPr>
                <w:rFonts w:ascii="Palatino Linotype" w:hAnsi="Palatino Linotype"/>
              </w:rPr>
            </w:pPr>
          </w:p>
        </w:tc>
        <w:tc>
          <w:tcPr>
            <w:tcW w:w="4820" w:type="dxa"/>
            <w:hideMark/>
          </w:tcPr>
          <w:p w14:paraId="60DEBF86" w14:textId="141FFC92" w:rsidR="0076356E" w:rsidRDefault="0076356E">
            <w:pPr>
              <w:spacing w:line="240" w:lineRule="auto"/>
              <w:ind w:left="-1134"/>
              <w:jc w:val="center"/>
              <w:rPr>
                <w:rFonts w:ascii="Palatino Linotype" w:hAnsi="Palatino Linotype"/>
                <w:b/>
                <w:spacing w:val="40"/>
                <w:sz w:val="34"/>
                <w:szCs w:val="34"/>
                <w:u w:val="double"/>
              </w:rPr>
            </w:pPr>
          </w:p>
        </w:tc>
      </w:tr>
      <w:tr w:rsidR="0076356E" w14:paraId="2C6A36A6" w14:textId="77777777" w:rsidTr="0076356E">
        <w:trPr>
          <w:trHeight w:val="252"/>
        </w:trPr>
        <w:tc>
          <w:tcPr>
            <w:tcW w:w="4039" w:type="dxa"/>
            <w:hideMark/>
          </w:tcPr>
          <w:p w14:paraId="5C550CDC" w14:textId="77777777" w:rsidR="0076356E" w:rsidRDefault="0076356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45DB2931" w14:textId="77777777" w:rsidR="0076356E" w:rsidRDefault="0076356E">
            <w:pPr>
              <w:spacing w:after="0" w:line="240" w:lineRule="auto"/>
              <w:rPr>
                <w:rFonts w:ascii="Palatino Linotype" w:hAnsi="Palatino Linotype"/>
                <w:sz w:val="16"/>
              </w:rPr>
            </w:pPr>
          </w:p>
        </w:tc>
        <w:tc>
          <w:tcPr>
            <w:tcW w:w="4820" w:type="dxa"/>
            <w:hideMark/>
          </w:tcPr>
          <w:p w14:paraId="03C80B68" w14:textId="6649EFF4" w:rsidR="0076356E" w:rsidRPr="00754DB1" w:rsidRDefault="0076356E" w:rsidP="00CE583B">
            <w:pPr>
              <w:spacing w:after="0" w:line="240" w:lineRule="auto"/>
              <w:ind w:right="-70"/>
              <w:rPr>
                <w:rFonts w:ascii="Palatino Linotype" w:hAnsi="Palatino Linotype"/>
              </w:rPr>
            </w:pPr>
            <w:r w:rsidRPr="00880833">
              <w:rPr>
                <w:rFonts w:ascii="Palatino Linotype" w:hAnsi="Palatino Linotype"/>
              </w:rPr>
              <w:t>Αθήνα</w:t>
            </w:r>
            <w:r w:rsidRPr="00880833">
              <w:rPr>
                <w:rFonts w:ascii="Palatino Linotype" w:hAnsi="Palatino Linotype"/>
                <w:lang w:val="en-US"/>
              </w:rPr>
              <w:t xml:space="preserve">, </w:t>
            </w:r>
            <w:r w:rsidR="00820FA1">
              <w:rPr>
                <w:rFonts w:ascii="Palatino Linotype" w:hAnsi="Palatino Linotype"/>
              </w:rPr>
              <w:t>2</w:t>
            </w:r>
            <w:r w:rsidR="00754DB1">
              <w:rPr>
                <w:rFonts w:ascii="Palatino Linotype" w:hAnsi="Palatino Linotype"/>
              </w:rPr>
              <w:t>8 Μαρτίου 2022</w:t>
            </w:r>
          </w:p>
        </w:tc>
      </w:tr>
      <w:tr w:rsidR="0076356E" w14:paraId="69C63DDE" w14:textId="77777777" w:rsidTr="0076356E">
        <w:trPr>
          <w:trHeight w:val="236"/>
        </w:trPr>
        <w:tc>
          <w:tcPr>
            <w:tcW w:w="4039" w:type="dxa"/>
            <w:hideMark/>
          </w:tcPr>
          <w:p w14:paraId="01BF5C0B" w14:textId="77777777" w:rsidR="0076356E" w:rsidRDefault="0076356E">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253ACE64" w14:textId="77777777" w:rsidR="0076356E" w:rsidRDefault="0076356E">
            <w:pPr>
              <w:spacing w:after="0" w:line="240" w:lineRule="auto"/>
              <w:rPr>
                <w:rFonts w:ascii="Palatino Linotype" w:hAnsi="Palatino Linotype"/>
                <w:b/>
                <w:sz w:val="16"/>
              </w:rPr>
            </w:pPr>
          </w:p>
        </w:tc>
        <w:tc>
          <w:tcPr>
            <w:tcW w:w="4820" w:type="dxa"/>
          </w:tcPr>
          <w:p w14:paraId="5C0C953D" w14:textId="77777777" w:rsidR="0076356E" w:rsidRPr="00880833" w:rsidRDefault="0076356E">
            <w:pPr>
              <w:spacing w:after="0" w:line="240" w:lineRule="auto"/>
              <w:ind w:right="-70"/>
              <w:rPr>
                <w:rFonts w:ascii="Palatino Linotype" w:hAnsi="Palatino Linotype"/>
              </w:rPr>
            </w:pPr>
          </w:p>
        </w:tc>
      </w:tr>
      <w:tr w:rsidR="0076356E" w14:paraId="3C154BB3" w14:textId="77777777" w:rsidTr="0076356E">
        <w:trPr>
          <w:trHeight w:val="236"/>
        </w:trPr>
        <w:tc>
          <w:tcPr>
            <w:tcW w:w="4039" w:type="dxa"/>
            <w:hideMark/>
          </w:tcPr>
          <w:p w14:paraId="75405F63" w14:textId="77777777" w:rsidR="0076356E" w:rsidRDefault="0076356E">
            <w:pPr>
              <w:spacing w:after="0" w:line="240" w:lineRule="auto"/>
              <w:ind w:right="-68"/>
              <w:jc w:val="center"/>
              <w:rPr>
                <w:rFonts w:ascii="Palatino Linotype" w:hAnsi="Palatino Linotype"/>
                <w:b/>
              </w:rPr>
            </w:pPr>
            <w:r>
              <w:rPr>
                <w:rFonts w:ascii="Palatino Linotype" w:hAnsi="Palatino Linotype"/>
                <w:b/>
              </w:rPr>
              <w:t xml:space="preserve">ΣΥΝΤΟΝΙΣΤΙΚΗ ΕΠΙΤΡΟΠΗ </w:t>
            </w:r>
          </w:p>
          <w:p w14:paraId="41984ED4" w14:textId="77777777" w:rsidR="0076356E" w:rsidRDefault="0076356E">
            <w:pPr>
              <w:spacing w:after="0" w:line="240" w:lineRule="auto"/>
              <w:ind w:right="-68"/>
              <w:jc w:val="center"/>
              <w:rPr>
                <w:rFonts w:ascii="Palatino Linotype" w:hAnsi="Palatino Linotype"/>
                <w:b/>
              </w:rPr>
            </w:pPr>
            <w:r>
              <w:rPr>
                <w:rFonts w:ascii="Palatino Linotype" w:hAnsi="Palatino Linotype"/>
                <w:b/>
              </w:rPr>
              <w:t>ΣΥΜΒΟΛΑΙΟΓΡΑΦΙΚΩΝ</w:t>
            </w:r>
          </w:p>
          <w:p w14:paraId="0B14EA38" w14:textId="77777777" w:rsidR="0076356E" w:rsidRDefault="0076356E">
            <w:pPr>
              <w:spacing w:after="0" w:line="240" w:lineRule="auto"/>
              <w:ind w:right="-68"/>
              <w:jc w:val="center"/>
              <w:rPr>
                <w:rFonts w:ascii="Palatino Linotype" w:hAnsi="Palatino Linotype"/>
                <w:b/>
              </w:rPr>
            </w:pPr>
            <w:r>
              <w:rPr>
                <w:rFonts w:ascii="Palatino Linotype" w:hAnsi="Palatino Linotype"/>
                <w:b/>
              </w:rPr>
              <w:t>ΣΥΛΛΟΓΩΝ ΕΛΛΑΔΟΣ</w:t>
            </w:r>
          </w:p>
          <w:p w14:paraId="3C6A1998" w14:textId="77777777" w:rsidR="0076356E" w:rsidRDefault="0076356E">
            <w:pPr>
              <w:spacing w:after="0" w:line="240" w:lineRule="auto"/>
              <w:ind w:right="-68"/>
              <w:jc w:val="center"/>
              <w:rPr>
                <w:rFonts w:ascii="Palatino Linotype" w:hAnsi="Palatino Linotype"/>
                <w:sz w:val="18"/>
              </w:rPr>
            </w:pPr>
            <w:r>
              <w:rPr>
                <w:rFonts w:ascii="Palatino Linotype" w:hAnsi="Palatino Linotype"/>
                <w:sz w:val="18"/>
              </w:rPr>
              <w:t>-----------</w:t>
            </w:r>
          </w:p>
        </w:tc>
        <w:tc>
          <w:tcPr>
            <w:tcW w:w="567" w:type="dxa"/>
          </w:tcPr>
          <w:p w14:paraId="4D64BF59" w14:textId="77777777" w:rsidR="0076356E" w:rsidRDefault="0076356E">
            <w:pPr>
              <w:spacing w:after="0" w:line="240" w:lineRule="auto"/>
              <w:rPr>
                <w:rFonts w:ascii="Palatino Linotype" w:hAnsi="Palatino Linotype"/>
                <w:sz w:val="16"/>
              </w:rPr>
            </w:pPr>
          </w:p>
        </w:tc>
        <w:tc>
          <w:tcPr>
            <w:tcW w:w="4820" w:type="dxa"/>
          </w:tcPr>
          <w:p w14:paraId="2D0D9F16" w14:textId="51F2AA1A" w:rsidR="0076356E" w:rsidRPr="006934FA" w:rsidRDefault="0076356E">
            <w:pPr>
              <w:spacing w:after="0" w:line="240" w:lineRule="auto"/>
              <w:ind w:right="-70"/>
              <w:rPr>
                <w:rFonts w:ascii="Palatino Linotype" w:hAnsi="Palatino Linotype"/>
                <w:b/>
                <w:sz w:val="20"/>
                <w:lang w:val="en-US"/>
              </w:rPr>
            </w:pPr>
            <w:proofErr w:type="spellStart"/>
            <w:r w:rsidRPr="00880833">
              <w:rPr>
                <w:rFonts w:ascii="Palatino Linotype" w:hAnsi="Palatino Linotype"/>
              </w:rPr>
              <w:t>Αριθμ</w:t>
            </w:r>
            <w:proofErr w:type="spellEnd"/>
            <w:r w:rsidRPr="00880833">
              <w:rPr>
                <w:rFonts w:ascii="Palatino Linotype" w:hAnsi="Palatino Linotype"/>
              </w:rPr>
              <w:t xml:space="preserve">. πρωτ. </w:t>
            </w:r>
            <w:r w:rsidR="006934FA">
              <w:rPr>
                <w:rFonts w:ascii="Palatino Linotype" w:hAnsi="Palatino Linotype"/>
                <w:lang w:val="en-US"/>
              </w:rPr>
              <w:t>104</w:t>
            </w:r>
          </w:p>
          <w:p w14:paraId="7E9CDC17" w14:textId="77777777" w:rsidR="0076356E" w:rsidRPr="00880833" w:rsidRDefault="0076356E">
            <w:pPr>
              <w:spacing w:after="0" w:line="240" w:lineRule="auto"/>
              <w:ind w:right="-70"/>
              <w:rPr>
                <w:rFonts w:ascii="Palatino Linotype" w:hAnsi="Palatino Linotype"/>
                <w:b/>
                <w:sz w:val="20"/>
              </w:rPr>
            </w:pPr>
          </w:p>
          <w:p w14:paraId="62B45B09" w14:textId="77777777" w:rsidR="0076356E" w:rsidRPr="00880833" w:rsidRDefault="0076356E">
            <w:pPr>
              <w:spacing w:after="0" w:line="240" w:lineRule="auto"/>
              <w:ind w:right="-68"/>
              <w:rPr>
                <w:rFonts w:ascii="Palatino Linotype" w:hAnsi="Palatino Linotype" w:cs="Lucida Sans Unicode"/>
                <w:b/>
                <w:u w:val="single"/>
              </w:rPr>
            </w:pPr>
          </w:p>
        </w:tc>
      </w:tr>
      <w:tr w:rsidR="0076356E" w14:paraId="4073309C" w14:textId="77777777" w:rsidTr="0076356E">
        <w:trPr>
          <w:trHeight w:val="899"/>
        </w:trPr>
        <w:tc>
          <w:tcPr>
            <w:tcW w:w="4039" w:type="dxa"/>
            <w:hideMark/>
          </w:tcPr>
          <w:p w14:paraId="1805ED4B" w14:textId="77777777" w:rsidR="0076356E" w:rsidRDefault="0076356E">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 Αθήνα</w:t>
            </w:r>
          </w:p>
          <w:p w14:paraId="366D12DD" w14:textId="77777777" w:rsidR="0076356E" w:rsidRDefault="0076356E">
            <w:pPr>
              <w:spacing w:after="0" w:line="240" w:lineRule="auto"/>
              <w:ind w:right="-70"/>
              <w:jc w:val="both"/>
              <w:rPr>
                <w:rFonts w:ascii="Palatino Linotype" w:hAnsi="Palatino Linotype"/>
                <w:sz w:val="16"/>
                <w:lang w:val="fr-FR"/>
              </w:rPr>
            </w:pPr>
            <w:r>
              <w:rPr>
                <w:rFonts w:ascii="Palatino Linotype" w:hAnsi="Palatino Linotype"/>
                <w:sz w:val="16"/>
              </w:rPr>
              <w:t>Τηλέφωνα</w:t>
            </w:r>
            <w:r>
              <w:rPr>
                <w:rFonts w:ascii="Palatino Linotype" w:hAnsi="Palatino Linotype"/>
                <w:sz w:val="16"/>
                <w:lang w:val="fr-FR"/>
              </w:rPr>
              <w:t xml:space="preserve">    : 210-3307450,60,70,80,90</w:t>
            </w:r>
          </w:p>
          <w:p w14:paraId="1179801B" w14:textId="77777777" w:rsidR="0076356E" w:rsidRDefault="0076356E">
            <w:pPr>
              <w:spacing w:after="0" w:line="240" w:lineRule="auto"/>
              <w:ind w:right="-70"/>
              <w:jc w:val="both"/>
              <w:rPr>
                <w:rFonts w:ascii="Palatino Linotype" w:hAnsi="Palatino Linotype"/>
                <w:sz w:val="16"/>
                <w:lang w:val="fr-FR"/>
              </w:rPr>
            </w:pPr>
            <w:r>
              <w:rPr>
                <w:rFonts w:ascii="Palatino Linotype" w:hAnsi="Palatino Linotype"/>
                <w:sz w:val="16"/>
                <w:lang w:val="fr-FR"/>
              </w:rPr>
              <w:t>FAX               : 210-3848335</w:t>
            </w:r>
          </w:p>
          <w:p w14:paraId="526E4560" w14:textId="10931992" w:rsidR="0076356E" w:rsidRPr="00957637" w:rsidRDefault="0076356E">
            <w:pPr>
              <w:spacing w:after="0" w:line="240" w:lineRule="auto"/>
              <w:ind w:right="-70"/>
              <w:jc w:val="both"/>
              <w:rPr>
                <w:rFonts w:ascii="Palatino Linotype" w:hAnsi="Palatino Linotype"/>
                <w:sz w:val="16"/>
                <w:lang w:val="fr-FR"/>
              </w:rPr>
            </w:pPr>
            <w:r>
              <w:rPr>
                <w:rFonts w:ascii="Palatino Linotype" w:hAnsi="Palatino Linotype"/>
                <w:sz w:val="16"/>
                <w:lang w:val="de-DE"/>
              </w:rPr>
              <w:t>E</w:t>
            </w:r>
            <w:r>
              <w:rPr>
                <w:rFonts w:ascii="Palatino Linotype" w:hAnsi="Palatino Linotype"/>
                <w:sz w:val="16"/>
                <w:lang w:val="fr-FR"/>
              </w:rPr>
              <w:t>-</w:t>
            </w:r>
            <w:r>
              <w:rPr>
                <w:rFonts w:ascii="Palatino Linotype" w:hAnsi="Palatino Linotype"/>
                <w:sz w:val="16"/>
                <w:lang w:val="de-DE"/>
              </w:rPr>
              <w:t>mail</w:t>
            </w:r>
            <w:r>
              <w:rPr>
                <w:rFonts w:ascii="Palatino Linotype" w:hAnsi="Palatino Linotype"/>
                <w:sz w:val="16"/>
                <w:lang w:val="fr-FR"/>
              </w:rPr>
              <w:t xml:space="preserve">           :</w:t>
            </w:r>
            <w:r w:rsidR="007E5D06" w:rsidRPr="00957637">
              <w:rPr>
                <w:rFonts w:ascii="Palatino Linotype" w:hAnsi="Palatino Linotype"/>
                <w:sz w:val="16"/>
                <w:lang w:val="fr-FR"/>
              </w:rPr>
              <w:t xml:space="preserve"> </w:t>
            </w:r>
            <w:r w:rsidR="004B7C40" w:rsidRPr="004B7C40">
              <w:rPr>
                <w:rFonts w:ascii="Palatino Linotype" w:hAnsi="Palatino Linotype"/>
                <w:sz w:val="16"/>
                <w:lang w:val="fr-FR"/>
              </w:rPr>
              <w:t>notaries@</w:t>
            </w:r>
            <w:r w:rsidR="007E5D06" w:rsidRPr="00957637">
              <w:rPr>
                <w:rFonts w:ascii="Palatino Linotype" w:hAnsi="Palatino Linotype"/>
                <w:sz w:val="16"/>
                <w:lang w:val="fr-FR"/>
              </w:rPr>
              <w:t>notariat.gr</w:t>
            </w:r>
          </w:p>
          <w:p w14:paraId="7D343AC9" w14:textId="2C5E22DE" w:rsidR="007E5D06" w:rsidRPr="00820FA1" w:rsidRDefault="007E5D06" w:rsidP="004B7C40">
            <w:pPr>
              <w:spacing w:after="0" w:line="240" w:lineRule="auto"/>
              <w:ind w:right="-70"/>
              <w:jc w:val="both"/>
              <w:rPr>
                <w:rFonts w:ascii="Palatino Linotype" w:hAnsi="Palatino Linotype"/>
                <w:sz w:val="16"/>
              </w:rPr>
            </w:pPr>
            <w:r>
              <w:rPr>
                <w:rFonts w:ascii="Palatino Linotype" w:hAnsi="Palatino Linotype"/>
                <w:sz w:val="16"/>
              </w:rPr>
              <w:t>Πληροφορίες</w:t>
            </w:r>
            <w:r w:rsidRPr="004B7C40">
              <w:rPr>
                <w:rFonts w:cs="Calibri"/>
                <w:sz w:val="16"/>
                <w:lang w:val="fr-FR"/>
              </w:rPr>
              <w:t>:</w:t>
            </w:r>
            <w:r w:rsidR="00820FA1">
              <w:rPr>
                <w:rFonts w:ascii="Palatino Linotype" w:hAnsi="Palatino Linotype"/>
                <w:sz w:val="16"/>
                <w:lang w:val="fr-FR"/>
              </w:rPr>
              <w:t xml:space="preserve"> </w:t>
            </w:r>
            <w:r w:rsidR="00820FA1">
              <w:rPr>
                <w:rFonts w:ascii="Palatino Linotype" w:hAnsi="Palatino Linotype"/>
                <w:sz w:val="16"/>
              </w:rPr>
              <w:t>Θεόδωρος Χαλκίδης</w:t>
            </w:r>
          </w:p>
        </w:tc>
        <w:tc>
          <w:tcPr>
            <w:tcW w:w="567" w:type="dxa"/>
          </w:tcPr>
          <w:p w14:paraId="57C02CF3" w14:textId="77777777" w:rsidR="0076356E" w:rsidRPr="004B7C40" w:rsidRDefault="0076356E">
            <w:pPr>
              <w:spacing w:after="0" w:line="240" w:lineRule="auto"/>
              <w:rPr>
                <w:rFonts w:ascii="Palatino Linotype" w:hAnsi="Palatino Linotype"/>
                <w:sz w:val="24"/>
                <w:szCs w:val="24"/>
                <w:lang w:val="fr-FR"/>
              </w:rPr>
            </w:pPr>
          </w:p>
        </w:tc>
        <w:tc>
          <w:tcPr>
            <w:tcW w:w="4820" w:type="dxa"/>
            <w:hideMark/>
          </w:tcPr>
          <w:p w14:paraId="028950E8" w14:textId="77777777" w:rsidR="0076356E" w:rsidRDefault="0076356E">
            <w:pPr>
              <w:spacing w:after="0" w:line="240" w:lineRule="auto"/>
              <w:jc w:val="both"/>
              <w:rPr>
                <w:rFonts w:ascii="Palatino Linotype" w:eastAsia="Times New Roman" w:hAnsi="Palatino Linotype" w:cs="Tahoma"/>
                <w:b/>
                <w:sz w:val="24"/>
                <w:szCs w:val="24"/>
                <w:u w:val="single"/>
                <w:lang w:eastAsia="x-none"/>
              </w:rPr>
            </w:pPr>
            <w:r>
              <w:rPr>
                <w:rFonts w:ascii="Palatino Linotype" w:eastAsia="Times New Roman" w:hAnsi="Palatino Linotype" w:cs="Tahoma"/>
                <w:b/>
                <w:sz w:val="24"/>
                <w:szCs w:val="24"/>
                <w:u w:val="single"/>
                <w:lang w:eastAsia="x-none"/>
              </w:rPr>
              <w:t xml:space="preserve">Προς </w:t>
            </w:r>
          </w:p>
          <w:p w14:paraId="68F17399" w14:textId="77777777" w:rsidR="0076356E" w:rsidRDefault="0076356E">
            <w:pPr>
              <w:spacing w:after="0" w:line="24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 xml:space="preserve">Όλους τους συμβολαιογράφους </w:t>
            </w:r>
          </w:p>
          <w:p w14:paraId="11ECB1F1" w14:textId="77777777" w:rsidR="0076356E" w:rsidRDefault="0076356E">
            <w:pPr>
              <w:spacing w:after="0" w:line="24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της χώρας</w:t>
            </w:r>
          </w:p>
        </w:tc>
      </w:tr>
    </w:tbl>
    <w:p w14:paraId="4CDEFA14" w14:textId="77777777" w:rsidR="00232838" w:rsidRDefault="00232838" w:rsidP="00232838">
      <w:pPr>
        <w:spacing w:after="0" w:line="240" w:lineRule="auto"/>
        <w:jc w:val="both"/>
        <w:rPr>
          <w:rFonts w:ascii="Palatino Linotype" w:eastAsia="Times New Roman" w:hAnsi="Palatino Linotype" w:cs="Tahoma"/>
          <w:b/>
          <w:spacing w:val="40"/>
          <w:sz w:val="24"/>
          <w:szCs w:val="24"/>
          <w:u w:val="single"/>
          <w:lang w:eastAsia="x-none"/>
        </w:rPr>
      </w:pPr>
    </w:p>
    <w:p w14:paraId="4BD1E041" w14:textId="3C5AD54D" w:rsidR="0076356E" w:rsidRPr="00006D53" w:rsidRDefault="0076356E" w:rsidP="00820FA1">
      <w:pPr>
        <w:spacing w:before="120" w:after="120" w:line="360" w:lineRule="auto"/>
        <w:jc w:val="both"/>
        <w:rPr>
          <w:rFonts w:ascii="Palatino Linotype" w:eastAsia="Times New Roman" w:hAnsi="Palatino Linotype" w:cs="Tahoma"/>
          <w:b/>
          <w:spacing w:val="-40"/>
          <w:sz w:val="28"/>
          <w:szCs w:val="28"/>
          <w:lang w:eastAsia="x-none"/>
        </w:rPr>
      </w:pPr>
      <w:r w:rsidRPr="00006D53">
        <w:rPr>
          <w:rFonts w:ascii="Palatino Linotype" w:eastAsia="Times New Roman" w:hAnsi="Palatino Linotype" w:cs="Tahoma"/>
          <w:b/>
          <w:spacing w:val="40"/>
          <w:sz w:val="28"/>
          <w:szCs w:val="28"/>
          <w:u w:val="single"/>
          <w:lang w:eastAsia="x-none"/>
        </w:rPr>
        <w:t>ΘΕΜΑ</w:t>
      </w:r>
      <w:r w:rsidR="00CE583B" w:rsidRPr="00006D53">
        <w:rPr>
          <w:rFonts w:ascii="Palatino Linotype" w:eastAsia="Times New Roman" w:hAnsi="Palatino Linotype" w:cs="Tahoma"/>
          <w:b/>
          <w:spacing w:val="40"/>
          <w:sz w:val="28"/>
          <w:szCs w:val="28"/>
          <w:lang w:eastAsia="x-none"/>
        </w:rPr>
        <w:t>:</w:t>
      </w:r>
      <w:r w:rsidR="00820FA1" w:rsidRPr="00006D53">
        <w:rPr>
          <w:rFonts w:ascii="Palatino Linotype" w:eastAsia="Times New Roman" w:hAnsi="Palatino Linotype" w:cs="Tahoma"/>
          <w:b/>
          <w:spacing w:val="40"/>
          <w:sz w:val="28"/>
          <w:szCs w:val="28"/>
          <w:lang w:eastAsia="x-none"/>
        </w:rPr>
        <w:t xml:space="preserve"> «Νέες ρυθμίσεις για τη χορήγηση βεβαίωσης περί μη οφειλής ΤΑΠ Ν.4915/2022 (Α</w:t>
      </w:r>
      <w:r w:rsidR="00564A9E" w:rsidRPr="00564A9E">
        <w:rPr>
          <w:rFonts w:ascii="Palatino Linotype" w:eastAsia="Times New Roman" w:hAnsi="Palatino Linotype" w:cs="Tahoma"/>
          <w:b/>
          <w:spacing w:val="40"/>
          <w:sz w:val="28"/>
          <w:szCs w:val="28"/>
          <w:lang w:eastAsia="x-none"/>
        </w:rPr>
        <w:t xml:space="preserve">’ </w:t>
      </w:r>
      <w:r w:rsidR="00820FA1" w:rsidRPr="00006D53">
        <w:rPr>
          <w:rFonts w:ascii="Palatino Linotype" w:eastAsia="Times New Roman" w:hAnsi="Palatino Linotype" w:cs="Tahoma"/>
          <w:b/>
          <w:spacing w:val="40"/>
          <w:sz w:val="28"/>
          <w:szCs w:val="28"/>
          <w:lang w:eastAsia="x-none"/>
        </w:rPr>
        <w:t>63)»</w:t>
      </w:r>
    </w:p>
    <w:p w14:paraId="4735EB8C" w14:textId="77777777" w:rsidR="00232838" w:rsidRDefault="00232838" w:rsidP="00820FA1">
      <w:pPr>
        <w:spacing w:before="120" w:after="120" w:line="360" w:lineRule="auto"/>
        <w:jc w:val="both"/>
        <w:rPr>
          <w:rFonts w:ascii="Palatino Linotype" w:eastAsia="Times New Roman" w:hAnsi="Palatino Linotype" w:cs="Tahoma"/>
          <w:sz w:val="24"/>
          <w:szCs w:val="24"/>
          <w:lang w:eastAsia="x-none"/>
        </w:rPr>
      </w:pPr>
    </w:p>
    <w:p w14:paraId="4D94FC06" w14:textId="77777777" w:rsidR="0076356E" w:rsidRPr="004B7C40" w:rsidRDefault="0076356E" w:rsidP="00820FA1">
      <w:pPr>
        <w:spacing w:before="120" w:after="120" w:line="360" w:lineRule="auto"/>
        <w:ind w:firstLine="720"/>
        <w:jc w:val="both"/>
        <w:rPr>
          <w:rFonts w:ascii="Palatino Linotype" w:eastAsia="Times New Roman" w:hAnsi="Palatino Linotype" w:cs="Tahoma"/>
          <w:sz w:val="24"/>
          <w:szCs w:val="24"/>
          <w:lang w:eastAsia="x-none"/>
        </w:rPr>
      </w:pPr>
      <w:r w:rsidRPr="004B7C40">
        <w:rPr>
          <w:rFonts w:ascii="Palatino Linotype" w:eastAsia="Times New Roman" w:hAnsi="Palatino Linotype" w:cs="Tahoma"/>
          <w:sz w:val="24"/>
          <w:szCs w:val="24"/>
          <w:lang w:eastAsia="x-none"/>
        </w:rPr>
        <w:t>Αγαπητοί Συνάδελφοι,</w:t>
      </w:r>
    </w:p>
    <w:p w14:paraId="28B0DBCF" w14:textId="50E199D3" w:rsidR="00232838" w:rsidRDefault="00820FA1" w:rsidP="00820FA1">
      <w:pPr>
        <w:spacing w:before="120" w:after="120" w:line="36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ab/>
        <w:t>Σας ενημερώνουμε</w:t>
      </w:r>
      <w:r w:rsidR="00564A9E" w:rsidRPr="00564A9E">
        <w:rPr>
          <w:rFonts w:ascii="Palatino Linotype" w:eastAsia="Times New Roman" w:hAnsi="Palatino Linotype" w:cs="Tahoma"/>
          <w:sz w:val="24"/>
          <w:szCs w:val="24"/>
          <w:lang w:eastAsia="x-none"/>
        </w:rPr>
        <w:t>,</w:t>
      </w:r>
      <w:r>
        <w:rPr>
          <w:rFonts w:ascii="Palatino Linotype" w:eastAsia="Times New Roman" w:hAnsi="Palatino Linotype" w:cs="Tahoma"/>
          <w:sz w:val="24"/>
          <w:szCs w:val="24"/>
          <w:lang w:eastAsia="x-none"/>
        </w:rPr>
        <w:t xml:space="preserve"> ότι δημοσιεύτηκε στο ΦΕΚ Α</w:t>
      </w:r>
      <w:r w:rsidR="00564A9E" w:rsidRPr="00564A9E">
        <w:rPr>
          <w:rFonts w:ascii="Palatino Linotype" w:eastAsia="Times New Roman" w:hAnsi="Palatino Linotype" w:cs="Tahoma"/>
          <w:sz w:val="24"/>
          <w:szCs w:val="24"/>
          <w:lang w:eastAsia="x-none"/>
        </w:rPr>
        <w:t xml:space="preserve">’ </w:t>
      </w:r>
      <w:r>
        <w:rPr>
          <w:rFonts w:ascii="Palatino Linotype" w:eastAsia="Times New Roman" w:hAnsi="Palatino Linotype" w:cs="Tahoma"/>
          <w:sz w:val="24"/>
          <w:szCs w:val="24"/>
          <w:lang w:eastAsia="x-none"/>
        </w:rPr>
        <w:t>63 ο Ν.</w:t>
      </w:r>
      <w:r w:rsidR="001E7638" w:rsidRPr="001E7638">
        <w:rPr>
          <w:rFonts w:ascii="Palatino Linotype" w:eastAsia="Times New Roman" w:hAnsi="Palatino Linotype" w:cs="Tahoma"/>
          <w:sz w:val="24"/>
          <w:szCs w:val="24"/>
          <w:lang w:eastAsia="x-none"/>
        </w:rPr>
        <w:t xml:space="preserve"> </w:t>
      </w:r>
      <w:r>
        <w:rPr>
          <w:rFonts w:ascii="Palatino Linotype" w:eastAsia="Times New Roman" w:hAnsi="Palatino Linotype" w:cs="Tahoma"/>
          <w:sz w:val="24"/>
          <w:szCs w:val="24"/>
          <w:lang w:eastAsia="x-none"/>
        </w:rPr>
        <w:t>4915/2022</w:t>
      </w:r>
      <w:r w:rsidR="001E7638" w:rsidRPr="001E7638">
        <w:rPr>
          <w:rFonts w:ascii="Palatino Linotype" w:eastAsia="Times New Roman" w:hAnsi="Palatino Linotype" w:cs="Tahoma"/>
          <w:sz w:val="24"/>
          <w:szCs w:val="24"/>
          <w:lang w:eastAsia="x-none"/>
        </w:rPr>
        <w:t>,</w:t>
      </w:r>
      <w:r>
        <w:rPr>
          <w:rFonts w:ascii="Palatino Linotype" w:eastAsia="Times New Roman" w:hAnsi="Palatino Linotype" w:cs="Tahoma"/>
          <w:sz w:val="24"/>
          <w:szCs w:val="24"/>
          <w:lang w:eastAsia="x-none"/>
        </w:rPr>
        <w:t xml:space="preserve"> με τίτλο </w:t>
      </w:r>
      <w:r w:rsidRPr="00820FA1">
        <w:rPr>
          <w:rFonts w:ascii="Palatino Linotype" w:eastAsia="Times New Roman" w:hAnsi="Palatino Linotype" w:cs="Tahoma"/>
          <w:i/>
          <w:iCs/>
          <w:sz w:val="24"/>
          <w:szCs w:val="24"/>
          <w:lang w:eastAsia="x-none"/>
        </w:rPr>
        <w:t>«Εθνικό Στρατηγικό Σχέδιο Καταπολέμησης της Διαφθοράς, διατάξεις για θέματα ανθρώπινου δυναμικού και Οργανισμών Τοπικής Αυτοδιοίκησης, νομοθετικό πλαίσιο εκπαίδευσης των σπουδαστών/σπουδαστριών της Εθνικής Σχολής Δημόσιας Διοίκησης και Αυτοδιοίκησης για την ένταξη στον κλάδο Π.Ε. Επιτελικών Στελεχών, διατάξεις για την ολοκλήρωση της μεταφοράς των δασικών υπηρεσιών στο Υπουργείο Περιβάλλοντος και Ενέργειας, διατάξεις για την εφαρμογή του Εθνικού Σχεδίου Ανάκαμψης και Ανθεκτικότητας «Ελλάδα 2.0», Εθνική Σύνταξη Ομογενών και άλλες επείγουσες διατάξεις»</w:t>
      </w:r>
      <w:r>
        <w:rPr>
          <w:rFonts w:ascii="Palatino Linotype" w:eastAsia="Times New Roman" w:hAnsi="Palatino Linotype" w:cs="Tahoma"/>
          <w:sz w:val="24"/>
          <w:szCs w:val="24"/>
          <w:lang w:eastAsia="x-none"/>
        </w:rPr>
        <w:t xml:space="preserve">. </w:t>
      </w:r>
    </w:p>
    <w:p w14:paraId="71992BB1" w14:textId="698553B1" w:rsidR="00820FA1" w:rsidRDefault="00820FA1" w:rsidP="00900FB1">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 xml:space="preserve">Στο </w:t>
      </w:r>
      <w:proofErr w:type="spellStart"/>
      <w:r>
        <w:rPr>
          <w:rFonts w:ascii="Palatino Linotype" w:eastAsia="Times New Roman" w:hAnsi="Palatino Linotype" w:cs="Tahoma"/>
          <w:sz w:val="24"/>
          <w:szCs w:val="24"/>
          <w:lang w:eastAsia="x-none"/>
        </w:rPr>
        <w:t>άρθρ</w:t>
      </w:r>
      <w:proofErr w:type="spellEnd"/>
      <w:r w:rsidR="00900FB1">
        <w:rPr>
          <w:rFonts w:ascii="Palatino Linotype" w:eastAsia="Times New Roman" w:hAnsi="Palatino Linotype" w:cs="Tahoma"/>
          <w:sz w:val="24"/>
          <w:szCs w:val="24"/>
          <w:lang w:val="en-US" w:eastAsia="x-none"/>
        </w:rPr>
        <w:t>.</w:t>
      </w:r>
      <w:r>
        <w:rPr>
          <w:rFonts w:ascii="Palatino Linotype" w:eastAsia="Times New Roman" w:hAnsi="Palatino Linotype" w:cs="Tahoma"/>
          <w:sz w:val="24"/>
          <w:szCs w:val="24"/>
          <w:lang w:eastAsia="x-none"/>
        </w:rPr>
        <w:t xml:space="preserve"> 19 </w:t>
      </w:r>
      <w:r w:rsidR="002B7456">
        <w:rPr>
          <w:rFonts w:ascii="Palatino Linotype" w:eastAsia="Times New Roman" w:hAnsi="Palatino Linotype" w:cs="Tahoma"/>
          <w:sz w:val="24"/>
          <w:szCs w:val="24"/>
          <w:lang w:eastAsia="x-none"/>
        </w:rPr>
        <w:t xml:space="preserve">του </w:t>
      </w:r>
      <w:r>
        <w:rPr>
          <w:rFonts w:ascii="Palatino Linotype" w:eastAsia="Times New Roman" w:hAnsi="Palatino Linotype" w:cs="Tahoma"/>
          <w:sz w:val="24"/>
          <w:szCs w:val="24"/>
          <w:lang w:eastAsia="x-none"/>
        </w:rPr>
        <w:t>Ν.</w:t>
      </w:r>
      <w:r w:rsidR="00900FB1" w:rsidRPr="00900FB1">
        <w:rPr>
          <w:rFonts w:ascii="Palatino Linotype" w:eastAsia="Times New Roman" w:hAnsi="Palatino Linotype" w:cs="Tahoma"/>
          <w:sz w:val="24"/>
          <w:szCs w:val="24"/>
          <w:lang w:eastAsia="x-none"/>
        </w:rPr>
        <w:t xml:space="preserve"> </w:t>
      </w:r>
      <w:r>
        <w:rPr>
          <w:rFonts w:ascii="Palatino Linotype" w:eastAsia="Times New Roman" w:hAnsi="Palatino Linotype" w:cs="Tahoma"/>
          <w:sz w:val="24"/>
          <w:szCs w:val="24"/>
          <w:lang w:eastAsia="x-none"/>
        </w:rPr>
        <w:t xml:space="preserve">4915/2022 </w:t>
      </w:r>
      <w:r w:rsidR="002B7456">
        <w:rPr>
          <w:rFonts w:ascii="Palatino Linotype" w:eastAsia="Times New Roman" w:hAnsi="Palatino Linotype" w:cs="Tahoma"/>
          <w:sz w:val="24"/>
          <w:szCs w:val="24"/>
          <w:lang w:eastAsia="x-none"/>
        </w:rPr>
        <w:t xml:space="preserve">εισάγονται αλλαγές στις διατάξεις που αφορούν στη διαδικασία και τις προϋποθέσεις για τη χορήγηση της βεβαίωσης περί μη οφειλής ΤΑΠ, στις οποίες, μεταξύ άλλων, προβλέπεται η συμμετοχή του συμβολαιογράφου στην διαδικασία με την καταβολή </w:t>
      </w:r>
      <w:r w:rsidR="006F335E">
        <w:rPr>
          <w:rFonts w:ascii="Palatino Linotype" w:eastAsia="Times New Roman" w:hAnsi="Palatino Linotype" w:cs="Tahoma"/>
          <w:sz w:val="24"/>
          <w:szCs w:val="24"/>
          <w:lang w:eastAsia="x-none"/>
        </w:rPr>
        <w:t>σε αυτόν είτε από τον μεταβιβάζοντα είτε από τον αποκτώντα</w:t>
      </w:r>
      <w:r w:rsidR="006F335E" w:rsidRPr="006F335E">
        <w:rPr>
          <w:rFonts w:ascii="Palatino Linotype" w:eastAsia="Times New Roman" w:hAnsi="Palatino Linotype" w:cs="Tahoma"/>
          <w:sz w:val="24"/>
          <w:szCs w:val="24"/>
          <w:lang w:eastAsia="x-none"/>
        </w:rPr>
        <w:t xml:space="preserve"> κατά τον χρόνο σύναψης του συμβολαίου, ως εγγύηση μέχρι την </w:t>
      </w:r>
      <w:r w:rsidR="006F335E" w:rsidRPr="006F335E">
        <w:rPr>
          <w:rFonts w:ascii="Palatino Linotype" w:eastAsia="Times New Roman" w:hAnsi="Palatino Linotype" w:cs="Tahoma"/>
          <w:sz w:val="24"/>
          <w:szCs w:val="24"/>
          <w:lang w:eastAsia="x-none"/>
        </w:rPr>
        <w:lastRenderedPageBreak/>
        <w:t>εκκαθάριση της οφειλής, ποσό που αντιστοιχεί σε ποσοστό τρία τοις χιλίοις (3‰) επί της αξίας πώλησης ή επί της αντικειμενικής αξίας του ακινήτου. Το ποσό αυτό αποδίδεται από τον συμβολαιογράφο μέσω ηλεκτρονικής τραπεζικής στον δήμο για λογαριασμό του αποκτώντα</w:t>
      </w:r>
      <w:r w:rsidR="006F335E">
        <w:rPr>
          <w:rFonts w:ascii="Palatino Linotype" w:eastAsia="Times New Roman" w:hAnsi="Palatino Linotype" w:cs="Tahoma"/>
          <w:sz w:val="24"/>
          <w:szCs w:val="24"/>
          <w:lang w:eastAsia="x-none"/>
        </w:rPr>
        <w:t>, με</w:t>
      </w:r>
      <w:r w:rsidR="006F335E" w:rsidRPr="006F335E">
        <w:t xml:space="preserve"> </w:t>
      </w:r>
      <w:r w:rsidR="006F335E">
        <w:rPr>
          <w:rFonts w:ascii="Palatino Linotype" w:eastAsia="Times New Roman" w:hAnsi="Palatino Linotype" w:cs="Tahoma"/>
          <w:sz w:val="24"/>
          <w:szCs w:val="24"/>
          <w:lang w:eastAsia="x-none"/>
        </w:rPr>
        <w:t>τ</w:t>
      </w:r>
      <w:r w:rsidR="006F335E" w:rsidRPr="006F335E">
        <w:rPr>
          <w:rFonts w:ascii="Palatino Linotype" w:eastAsia="Times New Roman" w:hAnsi="Palatino Linotype" w:cs="Tahoma"/>
          <w:sz w:val="24"/>
          <w:szCs w:val="24"/>
          <w:lang w:eastAsia="x-none"/>
        </w:rPr>
        <w:t xml:space="preserve">ο αποδεικτικό κατάθεσης του ποσού </w:t>
      </w:r>
      <w:r w:rsidR="006F335E">
        <w:rPr>
          <w:rFonts w:ascii="Palatino Linotype" w:eastAsia="Times New Roman" w:hAnsi="Palatino Linotype" w:cs="Tahoma"/>
          <w:sz w:val="24"/>
          <w:szCs w:val="24"/>
          <w:lang w:eastAsia="x-none"/>
        </w:rPr>
        <w:t>να</w:t>
      </w:r>
      <w:r w:rsidR="006F335E" w:rsidRPr="006F335E">
        <w:rPr>
          <w:rFonts w:ascii="Palatino Linotype" w:eastAsia="Times New Roman" w:hAnsi="Palatino Linotype" w:cs="Tahoma"/>
          <w:sz w:val="24"/>
          <w:szCs w:val="24"/>
          <w:lang w:eastAsia="x-none"/>
        </w:rPr>
        <w:t xml:space="preserve"> επέχει θέσης βεβαίωσης</w:t>
      </w:r>
      <w:r w:rsidR="006F335E">
        <w:rPr>
          <w:rFonts w:ascii="Palatino Linotype" w:eastAsia="Times New Roman" w:hAnsi="Palatino Linotype" w:cs="Tahoma"/>
          <w:sz w:val="24"/>
          <w:szCs w:val="24"/>
          <w:lang w:eastAsia="x-none"/>
        </w:rPr>
        <w:t xml:space="preserve"> περί μη οφειλής ΤΑΠ.</w:t>
      </w:r>
    </w:p>
    <w:p w14:paraId="2EAD16CC" w14:textId="5AE3CCF0" w:rsidR="002B7456" w:rsidRDefault="006F335E" w:rsidP="00906228">
      <w:pPr>
        <w:spacing w:before="120" w:after="120" w:line="360" w:lineRule="auto"/>
        <w:ind w:firstLine="720"/>
        <w:jc w:val="both"/>
        <w:rPr>
          <w:rFonts w:ascii="Palatino Linotype" w:eastAsia="Times New Roman" w:hAnsi="Palatino Linotype"/>
          <w:sz w:val="24"/>
          <w:szCs w:val="24"/>
        </w:rPr>
      </w:pPr>
      <w:r>
        <w:rPr>
          <w:rFonts w:ascii="Palatino Linotype" w:eastAsia="Times New Roman" w:hAnsi="Palatino Linotype"/>
          <w:sz w:val="24"/>
          <w:szCs w:val="24"/>
        </w:rPr>
        <w:t>Ειδικότερα η παρ. 18 του άρθρ</w:t>
      </w:r>
      <w:r w:rsidR="00906228" w:rsidRPr="00906228">
        <w:rPr>
          <w:rFonts w:ascii="Palatino Linotype" w:eastAsia="Times New Roman" w:hAnsi="Palatino Linotype"/>
          <w:sz w:val="24"/>
          <w:szCs w:val="24"/>
        </w:rPr>
        <w:t>.</w:t>
      </w:r>
      <w:r>
        <w:rPr>
          <w:rFonts w:ascii="Palatino Linotype" w:eastAsia="Times New Roman" w:hAnsi="Palatino Linotype"/>
          <w:sz w:val="24"/>
          <w:szCs w:val="24"/>
        </w:rPr>
        <w:t xml:space="preserve"> 24 Ν.</w:t>
      </w:r>
      <w:r w:rsidR="00906228" w:rsidRPr="00906228">
        <w:rPr>
          <w:rFonts w:ascii="Palatino Linotype" w:eastAsia="Times New Roman" w:hAnsi="Palatino Linotype"/>
          <w:sz w:val="24"/>
          <w:szCs w:val="24"/>
        </w:rPr>
        <w:t xml:space="preserve"> </w:t>
      </w:r>
      <w:r>
        <w:rPr>
          <w:rFonts w:ascii="Palatino Linotype" w:eastAsia="Times New Roman" w:hAnsi="Palatino Linotype"/>
          <w:sz w:val="24"/>
          <w:szCs w:val="24"/>
        </w:rPr>
        <w:t>2130/1993 αντικαθίσταται από το άρθρ</w:t>
      </w:r>
      <w:r w:rsidR="00906228" w:rsidRPr="00906228">
        <w:rPr>
          <w:rFonts w:ascii="Palatino Linotype" w:eastAsia="Times New Roman" w:hAnsi="Palatino Linotype"/>
          <w:sz w:val="24"/>
          <w:szCs w:val="24"/>
        </w:rPr>
        <w:t>.</w:t>
      </w:r>
      <w:r>
        <w:rPr>
          <w:rFonts w:ascii="Palatino Linotype" w:eastAsia="Times New Roman" w:hAnsi="Palatino Linotype"/>
          <w:sz w:val="24"/>
          <w:szCs w:val="24"/>
        </w:rPr>
        <w:t xml:space="preserve"> 19 Ν.</w:t>
      </w:r>
      <w:r w:rsidR="00906228" w:rsidRPr="00906228">
        <w:rPr>
          <w:rFonts w:ascii="Palatino Linotype" w:eastAsia="Times New Roman" w:hAnsi="Palatino Linotype"/>
          <w:sz w:val="24"/>
          <w:szCs w:val="24"/>
        </w:rPr>
        <w:t xml:space="preserve"> </w:t>
      </w:r>
      <w:r>
        <w:rPr>
          <w:rFonts w:ascii="Palatino Linotype" w:eastAsia="Times New Roman" w:hAnsi="Palatino Linotype"/>
          <w:sz w:val="24"/>
          <w:szCs w:val="24"/>
        </w:rPr>
        <w:t>4915/2022 ως εξής:</w:t>
      </w:r>
    </w:p>
    <w:p w14:paraId="46B5AFF9" w14:textId="4B845491" w:rsidR="002B7456" w:rsidRPr="002B7456" w:rsidRDefault="002B7456" w:rsidP="006F335E">
      <w:pPr>
        <w:shd w:val="clear" w:color="auto" w:fill="D9D9D9" w:themeFill="background1" w:themeFillShade="D9"/>
        <w:spacing w:before="120" w:after="120" w:line="360" w:lineRule="auto"/>
        <w:jc w:val="center"/>
        <w:rPr>
          <w:rFonts w:ascii="Palatino Linotype" w:eastAsia="Times New Roman" w:hAnsi="Palatino Linotype"/>
          <w:b/>
          <w:bCs/>
          <w:sz w:val="24"/>
          <w:szCs w:val="24"/>
        </w:rPr>
      </w:pPr>
      <w:r w:rsidRPr="002B7456">
        <w:rPr>
          <w:rFonts w:ascii="Palatino Linotype" w:eastAsia="Times New Roman" w:hAnsi="Palatino Linotype"/>
          <w:b/>
          <w:bCs/>
          <w:sz w:val="24"/>
          <w:szCs w:val="24"/>
        </w:rPr>
        <w:t>Άρθρο 19</w:t>
      </w:r>
    </w:p>
    <w:p w14:paraId="432CC098" w14:textId="7DA24508" w:rsidR="002B7456" w:rsidRPr="002B7456" w:rsidRDefault="002B7456" w:rsidP="006F335E">
      <w:pPr>
        <w:shd w:val="clear" w:color="auto" w:fill="D9D9D9" w:themeFill="background1" w:themeFillShade="D9"/>
        <w:spacing w:before="120" w:after="120" w:line="360" w:lineRule="auto"/>
        <w:jc w:val="center"/>
        <w:rPr>
          <w:rFonts w:ascii="Palatino Linotype" w:eastAsia="Times New Roman" w:hAnsi="Palatino Linotype"/>
          <w:b/>
          <w:bCs/>
          <w:sz w:val="24"/>
          <w:szCs w:val="24"/>
        </w:rPr>
      </w:pPr>
      <w:r w:rsidRPr="002B7456">
        <w:rPr>
          <w:rFonts w:ascii="Palatino Linotype" w:eastAsia="Times New Roman" w:hAnsi="Palatino Linotype"/>
          <w:b/>
          <w:bCs/>
          <w:sz w:val="24"/>
          <w:szCs w:val="24"/>
        </w:rPr>
        <w:t xml:space="preserve">Μεταβίβαση κυριότητας ακινήτων </w:t>
      </w:r>
      <w:r w:rsidR="00906228" w:rsidRPr="00725BB7">
        <w:rPr>
          <w:rFonts w:ascii="Palatino Linotype" w:eastAsia="Times New Roman" w:hAnsi="Palatino Linotype"/>
          <w:b/>
          <w:bCs/>
          <w:sz w:val="24"/>
          <w:szCs w:val="24"/>
        </w:rPr>
        <w:t>–</w:t>
      </w:r>
      <w:r w:rsidRPr="002B7456">
        <w:rPr>
          <w:rFonts w:ascii="Palatino Linotype" w:eastAsia="Times New Roman" w:hAnsi="Palatino Linotype"/>
          <w:b/>
          <w:bCs/>
          <w:sz w:val="24"/>
          <w:szCs w:val="24"/>
        </w:rPr>
        <w:t xml:space="preserve"> Αντικατάσταση παρ. 18 άρθρου 24 ν. 2130/1993</w:t>
      </w:r>
    </w:p>
    <w:p w14:paraId="26E55898" w14:textId="77777777" w:rsidR="002B7456" w:rsidRPr="002B7456" w:rsidRDefault="002B7456" w:rsidP="006F335E">
      <w:pPr>
        <w:shd w:val="clear" w:color="auto" w:fill="D9D9D9" w:themeFill="background1" w:themeFillShade="D9"/>
        <w:spacing w:before="120" w:after="120" w:line="360" w:lineRule="auto"/>
        <w:jc w:val="both"/>
        <w:rPr>
          <w:rFonts w:ascii="Palatino Linotype" w:eastAsia="Times New Roman" w:hAnsi="Palatino Linotype"/>
          <w:sz w:val="24"/>
          <w:szCs w:val="24"/>
        </w:rPr>
      </w:pPr>
      <w:r w:rsidRPr="002B7456">
        <w:rPr>
          <w:rFonts w:ascii="Palatino Linotype" w:eastAsia="Times New Roman" w:hAnsi="Palatino Linotype"/>
          <w:sz w:val="24"/>
          <w:szCs w:val="24"/>
        </w:rPr>
        <w:t>Η παρ. 18 του άρθρου 24 του ν. 2130/1993 (Α’ 62) αντικαθίσταται ως εξής:</w:t>
      </w:r>
    </w:p>
    <w:p w14:paraId="2AB58D98" w14:textId="2EF1915A" w:rsidR="002B7456" w:rsidRPr="006F335E" w:rsidRDefault="002B7456" w:rsidP="006F335E">
      <w:pPr>
        <w:shd w:val="clear" w:color="auto" w:fill="D9D9D9" w:themeFill="background1" w:themeFillShade="D9"/>
        <w:spacing w:before="120" w:after="120" w:line="360" w:lineRule="auto"/>
        <w:jc w:val="both"/>
        <w:rPr>
          <w:rFonts w:ascii="Palatino Linotype" w:eastAsia="Times New Roman" w:hAnsi="Palatino Linotype"/>
          <w:i/>
          <w:iCs/>
          <w:sz w:val="24"/>
          <w:szCs w:val="24"/>
        </w:rPr>
      </w:pPr>
      <w:r w:rsidRPr="006F335E">
        <w:rPr>
          <w:rFonts w:ascii="Palatino Linotype" w:eastAsia="Times New Roman" w:hAnsi="Palatino Linotype"/>
          <w:i/>
          <w:iCs/>
          <w:sz w:val="24"/>
          <w:szCs w:val="24"/>
        </w:rPr>
        <w:t>«18. α. Σε περίπτωση μεταβίβασης της κυριότητας των πάσης φύσεως ακίνητων για οποιαδήποτε αιτία και προ της υπογραφής του συμβολαίου, απαιτείται βεβαίωση περί μη οφειλής Τέλους Ακίνητης Περιουσίας (Τ.Α.Π.), άλλως η συμβολαιογραφική πράξη είναι άκυρη και δεν επάγεται οποιαδήποτε έννομη συνέπεια. Η βεβαίωση αναζητείται αυτεπάγγελτα από τον συμβολαιογράφο ή προσκομίζεται από τον μεταβιβάζοντα, εκδίδεται εντός πέντε (5) ημερών με βάση τα στοιχεία που τηρεί ηλεκτρονικά ο δήμος και ισχύει για ένα (1) έτος από την έκδοσή της. Η βεβαίωση που χορηγεί ο δήμος δύναται να είναι και ψηφιακή και να χρησιμοποιείται και για την ηλεκτρονική μεταβίβαση του ακινήτου.</w:t>
      </w:r>
    </w:p>
    <w:p w14:paraId="7C6AE7D5" w14:textId="1F572EC9" w:rsidR="002B7456" w:rsidRPr="006F335E" w:rsidRDefault="002B7456" w:rsidP="006F335E">
      <w:pPr>
        <w:shd w:val="clear" w:color="auto" w:fill="D9D9D9" w:themeFill="background1" w:themeFillShade="D9"/>
        <w:spacing w:before="120" w:after="120" w:line="360" w:lineRule="auto"/>
        <w:jc w:val="both"/>
        <w:rPr>
          <w:rFonts w:ascii="Palatino Linotype" w:eastAsia="Times New Roman" w:hAnsi="Palatino Linotype"/>
          <w:i/>
          <w:iCs/>
          <w:sz w:val="24"/>
          <w:szCs w:val="24"/>
        </w:rPr>
      </w:pPr>
      <w:r w:rsidRPr="006F335E">
        <w:rPr>
          <w:rFonts w:ascii="Palatino Linotype" w:eastAsia="Times New Roman" w:hAnsi="Palatino Linotype"/>
          <w:i/>
          <w:iCs/>
          <w:sz w:val="24"/>
          <w:szCs w:val="24"/>
        </w:rPr>
        <w:t xml:space="preserve">β. Εναλλακτικά, αν το επιθυμεί ο μεταβιβάζων ή σε περίπτωση που υφίσταται αδυναμία έκδοσης της βεβαίωσης της περ. α) εντός πέντε (5) ημερών για οποιονδήποτε λόγο, ο μεταβιβάζων έχει τη δυνατότητα να καταβάλει στον συμβολαιογράφο κατά τον χρόνο σύναψης του συμβολαίου, ως εγγύηση μέχρι την εκκαθάριση της οφειλής, ποσό που αντιστοιχεί σε ποσοστό τρία τοις χιλίοις (3‰) επί της αξίας πώλησης ή επί της αντικειμενικής αξίας του ακινήτου. Το ποσό αυτό αποδίδεται από τον συμβολαιογράφο μέσω ηλεκτρονικής τραπεζικής στον δήμο για λογαριασμό του αποκτώντα. Το </w:t>
      </w:r>
      <w:r w:rsidRPr="006F335E">
        <w:rPr>
          <w:rFonts w:ascii="Palatino Linotype" w:eastAsia="Times New Roman" w:hAnsi="Palatino Linotype"/>
          <w:i/>
          <w:iCs/>
          <w:sz w:val="24"/>
          <w:szCs w:val="24"/>
        </w:rPr>
        <w:lastRenderedPageBreak/>
        <w:t>αποδεικτικό κατάθεσης του ποσού του πρώτου εδαφίου επέχει θέσης βεβαίωσης κατά την περ. α). Οι δήμοι υποχρεούνται να αναρτούν στην ιστοσελίδα τους τους λογαριασμούς κατάθεσης των ανωτέρω ποσών, καθώς και σχετικές οδηγίες για τους ενδιαφερόμενους.</w:t>
      </w:r>
    </w:p>
    <w:p w14:paraId="0D40BC69" w14:textId="566D102A" w:rsidR="002B7456" w:rsidRPr="006F335E" w:rsidRDefault="002B7456" w:rsidP="006F335E">
      <w:pPr>
        <w:shd w:val="clear" w:color="auto" w:fill="D9D9D9" w:themeFill="background1" w:themeFillShade="D9"/>
        <w:spacing w:before="120" w:after="120" w:line="360" w:lineRule="auto"/>
        <w:jc w:val="both"/>
        <w:rPr>
          <w:rFonts w:ascii="Palatino Linotype" w:eastAsia="Times New Roman" w:hAnsi="Palatino Linotype"/>
          <w:i/>
          <w:iCs/>
          <w:sz w:val="24"/>
          <w:szCs w:val="24"/>
        </w:rPr>
      </w:pPr>
      <w:r w:rsidRPr="006F335E">
        <w:rPr>
          <w:rFonts w:ascii="Palatino Linotype" w:eastAsia="Times New Roman" w:hAnsi="Palatino Linotype"/>
          <w:i/>
          <w:iCs/>
          <w:sz w:val="24"/>
          <w:szCs w:val="24"/>
        </w:rPr>
        <w:t>γ. Εναλλακτικά, αν το επιθυμεί ο αποκτών ή σε περίπτωση που υφίσταται αδυναμία έκδοσης της βεβαίωσης της περ. α) εντός πέντε (5) ημερών για οποιονδήποτε λόγο, ο αποκτών έχει τη δυνατότητα να καταβάλει στον συμβολαιογράφο κατά τον χρόνο σύναψης του συμβολαίου, ως εγγύηση μέχρι την εκκαθάριση της οφειλής, ποσό που αντιστοιχεί σε ποσοστό τρία τοις χιλίοις (3‰) επί της αξίας πώλησης ή επί της αντικειμενικής αξίας του ακινήτου. Το ποσό αυτό αποδίδεται από τον συμβολαιογράφο μέσω ηλεκτρονικής τραπεζικής στον δήμο για λογαριασμό του αποκτώντα. Το αποδεικτικό κατάθεσης</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του ποσού του πρώτου εδαφίου, επέχει θέσης βεβαίωσης κατά την περ. α). Οι δήμοι υποχρεούνται να αναρτούν στην ιστοσελίδα τους τους λογαριασμούς κατάθεσης των ανωτέρω ποσών, καθώς και σχετικές οδηγίες</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για τους ενδιαφερόμενους.</w:t>
      </w:r>
    </w:p>
    <w:p w14:paraId="368BF930" w14:textId="769BAEB7" w:rsidR="002B7456" w:rsidRPr="006F335E" w:rsidRDefault="002B7456" w:rsidP="006F335E">
      <w:pPr>
        <w:shd w:val="clear" w:color="auto" w:fill="D9D9D9" w:themeFill="background1" w:themeFillShade="D9"/>
        <w:spacing w:before="120" w:after="120" w:line="360" w:lineRule="auto"/>
        <w:jc w:val="both"/>
        <w:rPr>
          <w:rFonts w:ascii="Palatino Linotype" w:eastAsia="Times New Roman" w:hAnsi="Palatino Linotype"/>
          <w:i/>
          <w:iCs/>
          <w:sz w:val="24"/>
          <w:szCs w:val="24"/>
        </w:rPr>
      </w:pPr>
      <w:r w:rsidRPr="006F335E">
        <w:rPr>
          <w:rFonts w:ascii="Palatino Linotype" w:eastAsia="Times New Roman" w:hAnsi="Palatino Linotype"/>
          <w:i/>
          <w:iCs/>
          <w:sz w:val="24"/>
          <w:szCs w:val="24"/>
        </w:rPr>
        <w:t>δ. Εντός αποκλειστικής προθεσμίας τριών (3) μηνών</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από την κατάθεση της εγγύησης, η ταμειακή υπηρεσία</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του δήμου προβαίνει σε εκκαθάριση της οφειλής του</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Τέλους Ακίνητης Περιουσίας (Τ.Α.Π.) και είτε βεβαιώνει</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και εισπράττει το υπόλοιπο της οφειλής με βεβαιωτικούς καταλόγους, είτε επιστρέφει στον μεταβιβάζοντα,</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κατά την εφαρμογή της περ. β), ή στον αποκτώντα, κατά</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την εφαρμογή της περ. γ) εντός δέκα (10) ημερών ως</w:t>
      </w:r>
      <w:r w:rsidR="006F335E" w:rsidRPr="006F335E">
        <w:rPr>
          <w:rFonts w:ascii="Palatino Linotype" w:eastAsia="Times New Roman" w:hAnsi="Palatino Linotype"/>
          <w:i/>
          <w:iCs/>
          <w:sz w:val="24"/>
          <w:szCs w:val="24"/>
        </w:rPr>
        <w:t xml:space="preserve"> </w:t>
      </w:r>
      <w:proofErr w:type="spellStart"/>
      <w:r w:rsidRPr="006F335E">
        <w:rPr>
          <w:rFonts w:ascii="Palatino Linotype" w:eastAsia="Times New Roman" w:hAnsi="Palatino Linotype"/>
          <w:i/>
          <w:iCs/>
          <w:sz w:val="24"/>
          <w:szCs w:val="24"/>
        </w:rPr>
        <w:t>αχρεωστήτως</w:t>
      </w:r>
      <w:proofErr w:type="spellEnd"/>
      <w:r w:rsidRPr="006F335E">
        <w:rPr>
          <w:rFonts w:ascii="Palatino Linotype" w:eastAsia="Times New Roman" w:hAnsi="Palatino Linotype"/>
          <w:i/>
          <w:iCs/>
          <w:sz w:val="24"/>
          <w:szCs w:val="24"/>
        </w:rPr>
        <w:t xml:space="preserve"> καταβληθέν το τυχόν επιπλέον ποσό που</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καταβλήθηκε ως εγγύηση. Η εκκαθάριση ανατρέχει σε</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βάθος πενταετίας. Τυχόν οφειλές πέραν της πενταετίας</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δεν αναζητούνται και δεν βεβαιώνονται. Σε περίπτωση</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οφειλής, ο μεταβιβάζων ή ο αποκτών υποχρεούται να</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εξοφλήσει το υπόλοιπο ποσό είτε εφάπαξ εντός τριάντα</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(30) ημερών, είτε σε έως έξι (6) ισόποσες μηνιαίες δόσεις</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με ελάχιστο ποσό μηνιαίας δόσης τα πενήντα (50) ευρώ,</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άλλως εφαρμόζονται οι διατάξεις του Κώδικα Είσπραξης</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Δημοσίων Εσόδων [</w:t>
      </w:r>
      <w:proofErr w:type="spellStart"/>
      <w:r w:rsidRPr="006F335E">
        <w:rPr>
          <w:rFonts w:ascii="Palatino Linotype" w:eastAsia="Times New Roman" w:hAnsi="Palatino Linotype"/>
          <w:i/>
          <w:iCs/>
          <w:sz w:val="24"/>
          <w:szCs w:val="24"/>
        </w:rPr>
        <w:t>ν.δ</w:t>
      </w:r>
      <w:proofErr w:type="spellEnd"/>
      <w:r w:rsidRPr="006F335E">
        <w:rPr>
          <w:rFonts w:ascii="Palatino Linotype" w:eastAsia="Times New Roman" w:hAnsi="Palatino Linotype"/>
          <w:i/>
          <w:iCs/>
          <w:sz w:val="24"/>
          <w:szCs w:val="24"/>
        </w:rPr>
        <w:t>. 356/1974 (Α’ 90)].</w:t>
      </w:r>
    </w:p>
    <w:p w14:paraId="36AA38A0" w14:textId="7F6B7DBA" w:rsidR="00820FA1" w:rsidRPr="006F335E" w:rsidRDefault="002B7456" w:rsidP="006F335E">
      <w:pPr>
        <w:shd w:val="clear" w:color="auto" w:fill="D9D9D9" w:themeFill="background1" w:themeFillShade="D9"/>
        <w:spacing w:before="120" w:after="120" w:line="360" w:lineRule="auto"/>
        <w:jc w:val="both"/>
        <w:rPr>
          <w:rFonts w:ascii="Palatino Linotype" w:eastAsia="Times New Roman" w:hAnsi="Palatino Linotype"/>
          <w:i/>
          <w:iCs/>
          <w:sz w:val="24"/>
          <w:szCs w:val="24"/>
        </w:rPr>
      </w:pPr>
      <w:r w:rsidRPr="006F335E">
        <w:rPr>
          <w:rFonts w:ascii="Palatino Linotype" w:eastAsia="Times New Roman" w:hAnsi="Palatino Linotype"/>
          <w:i/>
          <w:iCs/>
          <w:sz w:val="24"/>
          <w:szCs w:val="24"/>
        </w:rPr>
        <w:lastRenderedPageBreak/>
        <w:t>ε. Με απόφαση του Δημοτικού Συμβουλίου, η οποία</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λαμβάνεται με την απόλυτη πλειοψηφία του συνολικού</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αριθμού των μελών και τη σύμφωνη γνώμη του δημάρχου, μπορεί να αποφασίζεται η αναστολή της υποχρέωσης υποβολής της ανωτέρω βεβαίωσης περί μη οφειλής</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Τ.Α.Π. για τη μεταβίβαση της κυριότητας των πάσης φύσεως ακινήτων, υπό την προϋπόθεση υποβολής από τον</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συμβολαιογράφο πριν τη σύνταξη του συμβολαίου, σε</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ηλεκτρονική πλατφόρμα που τηρεί ο δήμος, των στοιχείων των συμβαλλομένων και του μεταβιβαζόμενου</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ακινήτου, ώστε να ελέγχονται και να βεβαιώνονται τυχόν</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οφειλές βάσει του Κώδικα Είσπραξης Δημοσίων Εσόδων</w:t>
      </w:r>
      <w:r w:rsidR="006F335E" w:rsidRPr="006F335E">
        <w:rPr>
          <w:rFonts w:ascii="Palatino Linotype" w:eastAsia="Times New Roman" w:hAnsi="Palatino Linotype"/>
          <w:i/>
          <w:iCs/>
          <w:sz w:val="24"/>
          <w:szCs w:val="24"/>
        </w:rPr>
        <w:t xml:space="preserve"> </w:t>
      </w:r>
      <w:r w:rsidRPr="006F335E">
        <w:rPr>
          <w:rFonts w:ascii="Palatino Linotype" w:eastAsia="Times New Roman" w:hAnsi="Palatino Linotype"/>
          <w:i/>
          <w:iCs/>
          <w:sz w:val="24"/>
          <w:szCs w:val="24"/>
        </w:rPr>
        <w:t>(</w:t>
      </w:r>
      <w:proofErr w:type="spellStart"/>
      <w:r w:rsidRPr="006F335E">
        <w:rPr>
          <w:rFonts w:ascii="Palatino Linotype" w:eastAsia="Times New Roman" w:hAnsi="Palatino Linotype"/>
          <w:i/>
          <w:iCs/>
          <w:sz w:val="24"/>
          <w:szCs w:val="24"/>
        </w:rPr>
        <w:t>ν.δ</w:t>
      </w:r>
      <w:proofErr w:type="spellEnd"/>
      <w:r w:rsidRPr="006F335E">
        <w:rPr>
          <w:rFonts w:ascii="Palatino Linotype" w:eastAsia="Times New Roman" w:hAnsi="Palatino Linotype"/>
          <w:i/>
          <w:iCs/>
          <w:sz w:val="24"/>
          <w:szCs w:val="24"/>
        </w:rPr>
        <w:t>. 356/1974, Α’ 356) ή να παρακρατείται το οφειλόμενο</w:t>
      </w:r>
      <w:r w:rsidR="006F335E" w:rsidRPr="006F335E">
        <w:t xml:space="preserve"> </w:t>
      </w:r>
      <w:r w:rsidR="006F335E" w:rsidRPr="006F335E">
        <w:rPr>
          <w:rFonts w:ascii="Palatino Linotype" w:eastAsia="Times New Roman" w:hAnsi="Palatino Linotype"/>
          <w:i/>
          <w:iCs/>
          <w:sz w:val="24"/>
          <w:szCs w:val="24"/>
        </w:rPr>
        <w:t>ποσό που προκύπτει κατά τη μεταβίβαση του ακινήτου.</w:t>
      </w:r>
      <w:r w:rsidR="006F335E">
        <w:rPr>
          <w:rFonts w:ascii="Palatino Linotype" w:eastAsia="Times New Roman" w:hAnsi="Palatino Linotype"/>
          <w:i/>
          <w:iCs/>
          <w:sz w:val="24"/>
          <w:szCs w:val="24"/>
        </w:rPr>
        <w:t xml:space="preserve"> </w:t>
      </w:r>
      <w:r w:rsidR="006F335E" w:rsidRPr="006F335E">
        <w:rPr>
          <w:rFonts w:ascii="Palatino Linotype" w:eastAsia="Times New Roman" w:hAnsi="Palatino Linotype"/>
          <w:i/>
          <w:iCs/>
          <w:sz w:val="24"/>
          <w:szCs w:val="24"/>
        </w:rPr>
        <w:t>Η ως άνω απόφαση επέχει θέση βεβαίωσης κατά την</w:t>
      </w:r>
      <w:r w:rsidR="006F335E">
        <w:rPr>
          <w:rFonts w:ascii="Palatino Linotype" w:eastAsia="Times New Roman" w:hAnsi="Palatino Linotype"/>
          <w:i/>
          <w:iCs/>
          <w:sz w:val="24"/>
          <w:szCs w:val="24"/>
        </w:rPr>
        <w:t xml:space="preserve"> </w:t>
      </w:r>
      <w:r w:rsidR="006F335E" w:rsidRPr="006F335E">
        <w:rPr>
          <w:rFonts w:ascii="Palatino Linotype" w:eastAsia="Times New Roman" w:hAnsi="Palatino Linotype"/>
          <w:i/>
          <w:iCs/>
          <w:sz w:val="24"/>
          <w:szCs w:val="24"/>
        </w:rPr>
        <w:t>περ. α) του παρόντος</w:t>
      </w:r>
      <w:r w:rsidR="006F335E">
        <w:rPr>
          <w:rFonts w:ascii="Palatino Linotype" w:eastAsia="Times New Roman" w:hAnsi="Palatino Linotype"/>
          <w:i/>
          <w:iCs/>
          <w:sz w:val="24"/>
          <w:szCs w:val="24"/>
        </w:rPr>
        <w:t>.».</w:t>
      </w:r>
    </w:p>
    <w:p w14:paraId="68344BE5" w14:textId="77777777" w:rsidR="006F335E" w:rsidRPr="00725BB7" w:rsidRDefault="006F335E" w:rsidP="00725BB7">
      <w:pPr>
        <w:spacing w:before="120" w:after="120" w:line="360" w:lineRule="auto"/>
        <w:rPr>
          <w:rFonts w:ascii="Palatino Linotype" w:eastAsia="Times New Roman" w:hAnsi="Palatino Linotype" w:cs="Tahoma"/>
          <w:sz w:val="24"/>
          <w:szCs w:val="24"/>
          <w:lang w:val="en-US" w:eastAsia="x-none"/>
        </w:rPr>
      </w:pPr>
    </w:p>
    <w:p w14:paraId="040F2996" w14:textId="1305FFD5" w:rsidR="00232838" w:rsidRDefault="0076356E" w:rsidP="00820FA1">
      <w:pPr>
        <w:spacing w:before="120" w:after="120" w:line="360" w:lineRule="auto"/>
        <w:jc w:val="center"/>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Με τιμή</w:t>
      </w:r>
    </w:p>
    <w:p w14:paraId="65CC6AAF" w14:textId="65F871C2" w:rsidR="004B7C40" w:rsidRDefault="0076356E" w:rsidP="00010CC1">
      <w:pPr>
        <w:spacing w:before="120" w:after="120" w:line="240" w:lineRule="auto"/>
        <w:jc w:val="center"/>
        <w:rPr>
          <w:rFonts w:ascii="Palatino Linotype" w:eastAsia="Times New Roman" w:hAnsi="Palatino Linotype" w:cs="Tahoma"/>
          <w:sz w:val="24"/>
          <w:szCs w:val="24"/>
          <w:lang w:eastAsia="x-none"/>
        </w:rPr>
      </w:pPr>
      <w:bookmarkStart w:id="0" w:name="_GoBack"/>
      <w:r>
        <w:rPr>
          <w:rFonts w:ascii="Palatino Linotype" w:eastAsia="Times New Roman" w:hAnsi="Palatino Linotype" w:cs="Tahoma"/>
          <w:sz w:val="24"/>
          <w:szCs w:val="24"/>
          <w:lang w:eastAsia="x-none"/>
        </w:rPr>
        <w:t>Ο Πρόεδρος</w:t>
      </w:r>
    </w:p>
    <w:bookmarkEnd w:id="0"/>
    <w:p w14:paraId="15EB20A8" w14:textId="7DEA7DCF" w:rsidR="00855B29" w:rsidRPr="00C93366" w:rsidRDefault="0076356E" w:rsidP="00820FA1">
      <w:pPr>
        <w:spacing w:before="120" w:after="120" w:line="360" w:lineRule="auto"/>
        <w:jc w:val="center"/>
        <w:rPr>
          <w:rFonts w:ascii="Palatino Linotype" w:hAnsi="Palatino Linotype" w:cs="Tahoma"/>
          <w:sz w:val="24"/>
          <w:szCs w:val="24"/>
        </w:rPr>
      </w:pPr>
      <w:r>
        <w:rPr>
          <w:rFonts w:ascii="Palatino Linotype" w:eastAsia="Times New Roman" w:hAnsi="Palatino Linotype" w:cs="Tahoma"/>
          <w:sz w:val="24"/>
          <w:szCs w:val="24"/>
          <w:lang w:eastAsia="x-none"/>
        </w:rPr>
        <w:t xml:space="preserve">Γεώργιος </w:t>
      </w:r>
      <w:proofErr w:type="spellStart"/>
      <w:r>
        <w:rPr>
          <w:rFonts w:ascii="Palatino Linotype" w:eastAsia="Times New Roman" w:hAnsi="Palatino Linotype" w:cs="Tahoma"/>
          <w:sz w:val="24"/>
          <w:szCs w:val="24"/>
          <w:lang w:eastAsia="x-none"/>
        </w:rPr>
        <w:t>Ρούσκας</w:t>
      </w:r>
      <w:proofErr w:type="spellEnd"/>
    </w:p>
    <w:sectPr w:rsidR="00855B29" w:rsidRPr="00C93366" w:rsidSect="004B7C40">
      <w:pgSz w:w="11906" w:h="16838"/>
      <w:pgMar w:top="1440" w:right="1134"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15"/>
    <w:rsid w:val="00006D53"/>
    <w:rsid w:val="00010CC1"/>
    <w:rsid w:val="001E7638"/>
    <w:rsid w:val="00232838"/>
    <w:rsid w:val="002B7456"/>
    <w:rsid w:val="00312E5A"/>
    <w:rsid w:val="00381E17"/>
    <w:rsid w:val="003918EE"/>
    <w:rsid w:val="00425588"/>
    <w:rsid w:val="004574AD"/>
    <w:rsid w:val="004B7C40"/>
    <w:rsid w:val="004F4615"/>
    <w:rsid w:val="00564A9E"/>
    <w:rsid w:val="006934FA"/>
    <w:rsid w:val="006F335E"/>
    <w:rsid w:val="00725BB7"/>
    <w:rsid w:val="00754DB1"/>
    <w:rsid w:val="0076356E"/>
    <w:rsid w:val="007A1990"/>
    <w:rsid w:val="007E5D06"/>
    <w:rsid w:val="007E7961"/>
    <w:rsid w:val="00820FA1"/>
    <w:rsid w:val="00880833"/>
    <w:rsid w:val="00900FB1"/>
    <w:rsid w:val="00906228"/>
    <w:rsid w:val="009344F8"/>
    <w:rsid w:val="00954E61"/>
    <w:rsid w:val="00957637"/>
    <w:rsid w:val="00C06C56"/>
    <w:rsid w:val="00C6617F"/>
    <w:rsid w:val="00C832D7"/>
    <w:rsid w:val="00C93366"/>
    <w:rsid w:val="00CE583B"/>
    <w:rsid w:val="00D25717"/>
    <w:rsid w:val="00D929D8"/>
    <w:rsid w:val="00D962C0"/>
    <w:rsid w:val="00E26FB1"/>
    <w:rsid w:val="00E96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3366"/>
    <w:rPr>
      <w:color w:val="0563C1" w:themeColor="hyperlink"/>
      <w:u w:val="single"/>
    </w:rPr>
  </w:style>
  <w:style w:type="character" w:customStyle="1" w:styleId="1">
    <w:name w:val="Ανεπίλυτη αναφορά1"/>
    <w:basedOn w:val="a0"/>
    <w:uiPriority w:val="99"/>
    <w:semiHidden/>
    <w:unhideWhenUsed/>
    <w:rsid w:val="00C93366"/>
    <w:rPr>
      <w:color w:val="605E5C"/>
      <w:shd w:val="clear" w:color="auto" w:fill="E1DFDD"/>
    </w:rPr>
  </w:style>
  <w:style w:type="paragraph" w:styleId="a3">
    <w:name w:val="Balloon Text"/>
    <w:basedOn w:val="a"/>
    <w:link w:val="Char"/>
    <w:uiPriority w:val="99"/>
    <w:semiHidden/>
    <w:unhideWhenUsed/>
    <w:rsid w:val="009576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76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3366"/>
    <w:rPr>
      <w:color w:val="0563C1" w:themeColor="hyperlink"/>
      <w:u w:val="single"/>
    </w:rPr>
  </w:style>
  <w:style w:type="character" w:customStyle="1" w:styleId="1">
    <w:name w:val="Ανεπίλυτη αναφορά1"/>
    <w:basedOn w:val="a0"/>
    <w:uiPriority w:val="99"/>
    <w:semiHidden/>
    <w:unhideWhenUsed/>
    <w:rsid w:val="00C93366"/>
    <w:rPr>
      <w:color w:val="605E5C"/>
      <w:shd w:val="clear" w:color="auto" w:fill="E1DFDD"/>
    </w:rPr>
  </w:style>
  <w:style w:type="paragraph" w:styleId="a3">
    <w:name w:val="Balloon Text"/>
    <w:basedOn w:val="a"/>
    <w:link w:val="Char"/>
    <w:uiPriority w:val="99"/>
    <w:semiHidden/>
    <w:unhideWhenUsed/>
    <w:rsid w:val="009576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76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2625">
      <w:bodyDiv w:val="1"/>
      <w:marLeft w:val="0"/>
      <w:marRight w:val="0"/>
      <w:marTop w:val="0"/>
      <w:marBottom w:val="0"/>
      <w:divBdr>
        <w:top w:val="none" w:sz="0" w:space="0" w:color="auto"/>
        <w:left w:val="none" w:sz="0" w:space="0" w:color="auto"/>
        <w:bottom w:val="none" w:sz="0" w:space="0" w:color="auto"/>
        <w:right w:val="none" w:sz="0" w:space="0" w:color="auto"/>
      </w:divBdr>
    </w:div>
    <w:div w:id="801116910">
      <w:bodyDiv w:val="1"/>
      <w:marLeft w:val="0"/>
      <w:marRight w:val="0"/>
      <w:marTop w:val="0"/>
      <w:marBottom w:val="0"/>
      <w:divBdr>
        <w:top w:val="none" w:sz="0" w:space="0" w:color="auto"/>
        <w:left w:val="none" w:sz="0" w:space="0" w:color="auto"/>
        <w:bottom w:val="none" w:sz="0" w:space="0" w:color="auto"/>
        <w:right w:val="none" w:sz="0" w:space="0" w:color="auto"/>
      </w:divBdr>
    </w:div>
    <w:div w:id="1091203278">
      <w:bodyDiv w:val="1"/>
      <w:marLeft w:val="0"/>
      <w:marRight w:val="0"/>
      <w:marTop w:val="0"/>
      <w:marBottom w:val="0"/>
      <w:divBdr>
        <w:top w:val="none" w:sz="0" w:space="0" w:color="auto"/>
        <w:left w:val="none" w:sz="0" w:space="0" w:color="auto"/>
        <w:bottom w:val="none" w:sz="0" w:space="0" w:color="auto"/>
        <w:right w:val="none" w:sz="0" w:space="0" w:color="auto"/>
      </w:divBdr>
    </w:div>
    <w:div w:id="1150756403">
      <w:bodyDiv w:val="1"/>
      <w:marLeft w:val="0"/>
      <w:marRight w:val="0"/>
      <w:marTop w:val="0"/>
      <w:marBottom w:val="0"/>
      <w:divBdr>
        <w:top w:val="none" w:sz="0" w:space="0" w:color="auto"/>
        <w:left w:val="none" w:sz="0" w:space="0" w:color="auto"/>
        <w:bottom w:val="none" w:sz="0" w:space="0" w:color="auto"/>
        <w:right w:val="none" w:sz="0" w:space="0" w:color="auto"/>
      </w:divBdr>
    </w:div>
    <w:div w:id="1161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959</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tritoselsa</cp:lastModifiedBy>
  <cp:revision>10</cp:revision>
  <dcterms:created xsi:type="dcterms:W3CDTF">2022-03-26T14:37:00Z</dcterms:created>
  <dcterms:modified xsi:type="dcterms:W3CDTF">2022-03-28T08:42:00Z</dcterms:modified>
</cp:coreProperties>
</file>