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9354DB" w:rsidRPr="00681C01" w14:paraId="18D394FB" w14:textId="77777777" w:rsidTr="00831D43">
        <w:trPr>
          <w:trHeight w:val="993"/>
        </w:trPr>
        <w:tc>
          <w:tcPr>
            <w:tcW w:w="4323" w:type="dxa"/>
            <w:hideMark/>
          </w:tcPr>
          <w:p w14:paraId="67F4C763" w14:textId="77777777" w:rsidR="009354DB" w:rsidRPr="00681C01" w:rsidRDefault="009354DB" w:rsidP="00831D43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4798B91E" wp14:editId="49029F0C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4921F85" w14:textId="77777777" w:rsidR="009354DB" w:rsidRPr="00681C01" w:rsidRDefault="009354DB" w:rsidP="00831D43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1B153D0B" w14:textId="6BB2A804" w:rsidR="009354DB" w:rsidRPr="00140A50" w:rsidRDefault="00862D81" w:rsidP="0076467B">
            <w:pPr>
              <w:spacing w:after="200" w:line="276" w:lineRule="auto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9354DB" w:rsidRPr="00681C01" w14:paraId="6EE52910" w14:textId="77777777" w:rsidTr="00831D43">
        <w:trPr>
          <w:trHeight w:val="236"/>
        </w:trPr>
        <w:tc>
          <w:tcPr>
            <w:tcW w:w="4323" w:type="dxa"/>
            <w:hideMark/>
          </w:tcPr>
          <w:p w14:paraId="08072DB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16707DE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7499B20B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47504EA0" w14:textId="1D55A5A7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,</w:t>
            </w:r>
            <w:r w:rsidR="002E221F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  <w:r w:rsidR="00862D8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4 </w:t>
            </w:r>
            <w:r w:rsidR="00862D81">
              <w:rPr>
                <w:rFonts w:ascii="Palatino Linotype" w:eastAsia="Calibri" w:hAnsi="Palatino Linotype" w:cs="Times New Roman"/>
                <w:sz w:val="24"/>
                <w:szCs w:val="24"/>
              </w:rPr>
              <w:t>Απριλίου 2022</w:t>
            </w:r>
          </w:p>
        </w:tc>
      </w:tr>
      <w:tr w:rsidR="009354DB" w:rsidRPr="00681C01" w14:paraId="129D3E6D" w14:textId="77777777" w:rsidTr="00831D43">
        <w:trPr>
          <w:trHeight w:val="236"/>
        </w:trPr>
        <w:tc>
          <w:tcPr>
            <w:tcW w:w="4323" w:type="dxa"/>
            <w:hideMark/>
          </w:tcPr>
          <w:p w14:paraId="68653BF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0EB9E446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0C7702BC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4CB0ADB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3104B034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1BE87E41" w14:textId="40FFDD5E" w:rsidR="009354DB" w:rsidRPr="00DE6073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862D81">
              <w:rPr>
                <w:rFonts w:ascii="Palatino Linotype" w:eastAsia="Calibri" w:hAnsi="Palatino Linotype" w:cs="Times New Roman"/>
                <w:sz w:val="24"/>
                <w:szCs w:val="24"/>
              </w:rPr>
              <w:t>120</w:t>
            </w:r>
          </w:p>
          <w:p w14:paraId="41404267" w14:textId="0438D18B" w:rsidR="009354DB" w:rsidRPr="00681C01" w:rsidRDefault="00D9464C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9404B7F" w14:textId="77777777" w:rsidR="009354DB" w:rsidRPr="009911EA" w:rsidRDefault="009354DB" w:rsidP="00831D43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9354DB" w:rsidRPr="00681C01" w14:paraId="6D19A573" w14:textId="77777777" w:rsidTr="00831D43">
        <w:trPr>
          <w:trHeight w:val="899"/>
        </w:trPr>
        <w:tc>
          <w:tcPr>
            <w:tcW w:w="4323" w:type="dxa"/>
            <w:hideMark/>
          </w:tcPr>
          <w:p w14:paraId="357095A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3B2A9232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8100E9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B37502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440B70D1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</w:p>
          <w:p w14:paraId="05F3CAAF" w14:textId="706E20D3" w:rsidR="009354DB" w:rsidRPr="00681C01" w:rsidRDefault="009354DB" w:rsidP="00831D43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proofErr w:type="spellStart"/>
            <w:r w:rsidR="002D3612">
              <w:rPr>
                <w:rFonts w:ascii="Palatino Linotype" w:eastAsia="Calibri" w:hAnsi="Palatino Linotype" w:cs="Times New Roman"/>
                <w:sz w:val="16"/>
              </w:rPr>
              <w:t>Γ.Ρούσκας</w:t>
            </w:r>
            <w:proofErr w:type="spellEnd"/>
          </w:p>
        </w:tc>
        <w:tc>
          <w:tcPr>
            <w:tcW w:w="283" w:type="dxa"/>
          </w:tcPr>
          <w:p w14:paraId="74B35D5C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20117EB2" w14:textId="77777777" w:rsidR="009354DB" w:rsidRPr="009911EA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5A363845" w14:textId="77777777" w:rsidR="009354DB" w:rsidRPr="00681C01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0BED2CAF" w14:textId="77777777" w:rsidR="009354DB" w:rsidRPr="00681C01" w:rsidRDefault="009354DB" w:rsidP="009354DB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4BFED078" w14:textId="707358EE" w:rsidR="009354DB" w:rsidRPr="0024185F" w:rsidRDefault="009354DB" w:rsidP="00D3278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>: «</w:t>
      </w:r>
      <w:bookmarkStart w:id="0" w:name="_Hlk92966467"/>
      <w:r w:rsidR="002D3612">
        <w:rPr>
          <w:rFonts w:ascii="Palatino Linotype" w:eastAsia="Calibri" w:hAnsi="Palatino Linotype" w:cs="Tahoma"/>
          <w:b/>
          <w:sz w:val="24"/>
          <w:szCs w:val="24"/>
          <w:lang w:eastAsia="x-none"/>
        </w:rPr>
        <w:t>Νέες διατάξεις για τη χορήγηση βεβαίωσης περί μη οφειλής ΤΑΠ</w:t>
      </w:r>
      <w:r w:rsidR="00352AB6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»</w:t>
      </w:r>
      <w:r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.</w:t>
      </w:r>
    </w:p>
    <w:p w14:paraId="0105AFAC" w14:textId="70E20C1F" w:rsidR="009354DB" w:rsidRDefault="009354DB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bookmarkEnd w:id="0"/>
    <w:p w14:paraId="7A66B058" w14:textId="0C5253AC" w:rsidR="00977DC5" w:rsidRPr="00977DC5" w:rsidRDefault="00F251FE" w:rsidP="00977DC5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Όπως ήδη έχετε πληροφορηθεί </w:t>
      </w:r>
      <w:r w:rsidR="00F70A3E">
        <w:rPr>
          <w:rFonts w:ascii="Palatino Linotype" w:eastAsia="Calibri" w:hAnsi="Palatino Linotype" w:cs="Tahoma"/>
          <w:sz w:val="24"/>
          <w:szCs w:val="24"/>
          <w:lang w:eastAsia="x-none"/>
        </w:rPr>
        <w:t>δ</w:t>
      </w:r>
      <w:r w:rsid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υνάμει των διατάξεων 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του άρθρου 19 του </w:t>
      </w:r>
      <w:r w:rsid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Ν. 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4915/2022 (ΦΕΚΑ’63/24-3-2022), θεσπίζεται </w:t>
      </w:r>
      <w:r w:rsidR="006D40A6">
        <w:rPr>
          <w:rFonts w:ascii="Palatino Linotype" w:eastAsia="Calibri" w:hAnsi="Palatino Linotype" w:cs="Tahoma"/>
          <w:sz w:val="24"/>
          <w:szCs w:val="24"/>
          <w:lang w:eastAsia="x-none"/>
        </w:rPr>
        <w:t>νέος – εναλλακτικός τρόπος έκδοσης της βεβαίωσης περί μη οφειλής ΤΑΠ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p w14:paraId="5A66AA07" w14:textId="6D534D24" w:rsidR="00332983" w:rsidRDefault="0082763C" w:rsidP="00977DC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Δυστυχώς, </w:t>
      </w:r>
      <w:r w:rsidR="006044E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ο </w:t>
      </w:r>
      <w:r w:rsidR="006044E8" w:rsidRPr="006044E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νέος – εναλλακτικός τρόπος έκδοσης της βεβαίωσης περί μη οφειλής ΤΑΠ </w:t>
      </w:r>
      <w:r w:rsidR="006044E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δημιουργεί </w:t>
      </w:r>
      <w:r w:rsidR="008C1295" w:rsidRPr="008C1295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νομικά ζητήματα</w:t>
      </w:r>
      <w:r w:rsidR="008C129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και</w:t>
      </w:r>
      <w:r w:rsidR="0028405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332983">
        <w:rPr>
          <w:rFonts w:ascii="Palatino Linotype" w:eastAsia="Calibri" w:hAnsi="Palatino Linotype" w:cs="Tahoma"/>
          <w:sz w:val="24"/>
          <w:szCs w:val="24"/>
          <w:lang w:eastAsia="x-none"/>
        </w:rPr>
        <w:t>είναι</w:t>
      </w:r>
      <w:r w:rsidR="008C129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στη πράξη</w:t>
      </w:r>
      <w:r w:rsidR="0033298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332983" w:rsidRPr="0088563A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ανεφάρμοστ</w:t>
      </w:r>
      <w:r w:rsidR="008C1295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ο</w:t>
      </w:r>
      <w:r w:rsidR="00332983" w:rsidRPr="0088563A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ς</w:t>
      </w:r>
      <w:r w:rsidR="0033298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διότι:</w:t>
      </w:r>
    </w:p>
    <w:p w14:paraId="6FD25A97" w14:textId="40342271" w:rsidR="00E0103C" w:rsidRDefault="00332983" w:rsidP="00977DC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D01BCE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1-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C872A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Ειδικά για την </w:t>
      </w:r>
      <w:r w:rsidR="008D22B4">
        <w:rPr>
          <w:rFonts w:ascii="Palatino Linotype" w:eastAsia="Calibri" w:hAnsi="Palatino Linotype" w:cs="Tahoma"/>
          <w:sz w:val="24"/>
          <w:szCs w:val="24"/>
          <w:lang w:eastAsia="x-none"/>
        </w:rPr>
        <w:t>επιτάχυνση</w:t>
      </w:r>
      <w:r w:rsidR="00C872A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της διαδικασίας νομ</w:t>
      </w:r>
      <w:r w:rsidR="008D22B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οθετήθηκε από την Ελληνική Πολιτεία </w:t>
      </w:r>
      <w:r w:rsidR="008E4D9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– παρά την ύπαρξη αιτιολογημένης πρότασης νόμου </w:t>
      </w:r>
      <w:r w:rsidR="00707F8B">
        <w:rPr>
          <w:rFonts w:ascii="Palatino Linotype" w:eastAsia="Calibri" w:hAnsi="Palatino Linotype" w:cs="Tahoma"/>
          <w:sz w:val="24"/>
          <w:szCs w:val="24"/>
          <w:lang w:eastAsia="x-none"/>
        </w:rPr>
        <w:t>της Συντονιστικής Επιτροπής των Συμβολαιογραφικών Συλλόγων Ελλάδος</w:t>
      </w:r>
      <w:r w:rsidR="008463CC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η οποία και επισυνάπτεται – η </w:t>
      </w:r>
      <w:r w:rsidR="000C25E2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ηλεκτρονική </w:t>
      </w:r>
      <w:r w:rsidR="008463CC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καταβολή εγγυοδοσίας από τον συμβολαιογράφο για λογαριασμό είτε του μεταβιβάζοντος είτε του </w:t>
      </w:r>
      <w:r w:rsidR="00510DE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αποκτώντος, στο Ταμείο του Δήμου – που αργοπορεί </w:t>
      </w:r>
      <w:r w:rsidR="002A044C">
        <w:rPr>
          <w:rFonts w:ascii="Palatino Linotype" w:eastAsia="Calibri" w:hAnsi="Palatino Linotype" w:cs="Tahoma"/>
          <w:sz w:val="24"/>
          <w:szCs w:val="24"/>
          <w:lang w:eastAsia="x-none"/>
        </w:rPr>
        <w:t>πέραν των πέντε ημερών για την έκδοση του Πιστοποιητικού περί μη οφειλής ΤΑΠ</w:t>
      </w:r>
      <w:r w:rsidR="0035440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</w:t>
      </w:r>
      <w:r w:rsidR="00354406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χωρίς </w:t>
      </w:r>
      <w:r w:rsidR="00A568D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να υπάρχει ουδεμία πρόβλεψη στο νόμο για τη διαδικασία της καταβολής </w:t>
      </w:r>
      <w:r w:rsidR="00676F2D">
        <w:rPr>
          <w:rFonts w:ascii="Palatino Linotype" w:eastAsia="Calibri" w:hAnsi="Palatino Linotype" w:cs="Tahoma"/>
          <w:sz w:val="24"/>
          <w:szCs w:val="24"/>
          <w:lang w:eastAsia="x-none"/>
        </w:rPr>
        <w:t>της εγγυοδοσίας, τη σύνδεση της εγγυοδοσίας με το υπό μεταβίβαση ακίνητο</w:t>
      </w:r>
      <w:r w:rsidR="00902F8C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ή </w:t>
      </w:r>
      <w:r w:rsidR="00676F2D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360A78">
        <w:rPr>
          <w:rFonts w:ascii="Palatino Linotype" w:eastAsia="Calibri" w:hAnsi="Palatino Linotype" w:cs="Tahoma"/>
          <w:sz w:val="24"/>
          <w:szCs w:val="24"/>
          <w:lang w:eastAsia="x-none"/>
        </w:rPr>
        <w:t>της διαδικασίας επιστροφής των χρημάτων της εγγύησης όπου απαιτηθε</w:t>
      </w:r>
      <w:r w:rsidR="002465A2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ί. Επιπλέον, </w:t>
      </w:r>
      <w:r w:rsidR="00E0103C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διαπιστώνεται ότι </w:t>
      </w:r>
      <w:r w:rsidR="004E2ECF">
        <w:rPr>
          <w:rFonts w:ascii="Palatino Linotype" w:eastAsia="Calibri" w:hAnsi="Palatino Linotype" w:cs="Tahoma"/>
          <w:sz w:val="24"/>
          <w:szCs w:val="24"/>
          <w:lang w:eastAsia="x-none"/>
        </w:rPr>
        <w:t>η διακίνηση χρηματικών ποσών</w:t>
      </w:r>
      <w:r w:rsidR="00BC31EB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που αφορούν </w:t>
      </w:r>
      <w:r w:rsidR="00BC31EB">
        <w:rPr>
          <w:rFonts w:ascii="Palatino Linotype" w:eastAsia="Calibri" w:hAnsi="Palatino Linotype" w:cs="Tahoma"/>
          <w:sz w:val="24"/>
          <w:szCs w:val="24"/>
          <w:lang w:eastAsia="x-none"/>
        </w:rPr>
        <w:lastRenderedPageBreak/>
        <w:t xml:space="preserve">στην εγγύηση του </w:t>
      </w:r>
      <w:r w:rsidR="00BC31EB" w:rsidRPr="00BC31EB">
        <w:rPr>
          <w:rFonts w:ascii="Palatino Linotype" w:eastAsia="Calibri" w:hAnsi="Palatino Linotype" w:cs="Tahoma"/>
          <w:sz w:val="24"/>
          <w:szCs w:val="24"/>
          <w:lang w:eastAsia="x-none"/>
        </w:rPr>
        <w:t>3 ‰</w:t>
      </w:r>
      <w:r w:rsidR="004E2EC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από το λογαριασμό των συμβολαιογράφων </w:t>
      </w:r>
      <w:r w:rsidR="002B2AF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και προς αυτόν, στην περίπτωση της επιστροφής της εγγύησης, </w:t>
      </w:r>
      <w:r w:rsidR="007B010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δημιουργεί έντονα </w:t>
      </w:r>
      <w:r w:rsidR="00A23E3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νομικά και φορολογικά </w:t>
      </w:r>
      <w:r w:rsidR="007B0104">
        <w:rPr>
          <w:rFonts w:ascii="Palatino Linotype" w:eastAsia="Calibri" w:hAnsi="Palatino Linotype" w:cs="Tahoma"/>
          <w:sz w:val="24"/>
          <w:szCs w:val="24"/>
          <w:lang w:eastAsia="x-none"/>
        </w:rPr>
        <w:t>ζητήματα</w:t>
      </w:r>
      <w:r w:rsidR="00D4133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39661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από τυχόν ελέγχους </w:t>
      </w:r>
      <w:r w:rsidR="00396617" w:rsidRPr="00BC4812">
        <w:rPr>
          <w:rFonts w:ascii="Palatino Linotype" w:eastAsia="Calibri" w:hAnsi="Palatino Linotype" w:cs="Tahoma"/>
          <w:sz w:val="24"/>
          <w:szCs w:val="24"/>
          <w:lang w:eastAsia="x-none"/>
        </w:rPr>
        <w:t>είτε της ΑΑΔΕ είτε της Αρχής Καταπολέμησης της Νομιμοποίησης Εσόδων από Εγκληματικές Δραστηριότητες</w:t>
      </w:r>
      <w:r w:rsidR="006166B4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p w14:paraId="0FF0F90D" w14:textId="65A252FB" w:rsidR="00977DC5" w:rsidRPr="00977DC5" w:rsidRDefault="00DE5A85" w:rsidP="00977DC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D01BCE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2-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D40FC2">
        <w:rPr>
          <w:rFonts w:ascii="Palatino Linotype" w:eastAsia="Calibri" w:hAnsi="Palatino Linotype" w:cs="Tahoma"/>
          <w:sz w:val="24"/>
          <w:szCs w:val="24"/>
          <w:lang w:eastAsia="x-none"/>
        </w:rPr>
        <w:t>Η αξία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του 3 </w:t>
      </w:r>
      <w:r w:rsidR="00581B03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‰ 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υπολογίζεται είτε </w:t>
      </w:r>
      <w:r w:rsidR="00581B03">
        <w:rPr>
          <w:rFonts w:ascii="Palatino Linotype" w:eastAsia="Calibri" w:hAnsi="Palatino Linotype" w:cs="Tahoma"/>
          <w:sz w:val="24"/>
          <w:szCs w:val="24"/>
          <w:lang w:eastAsia="x-none"/>
        </w:rPr>
        <w:t>στην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αξία πώλησης είτε </w:t>
      </w:r>
      <w:r w:rsidR="00581B03">
        <w:rPr>
          <w:rFonts w:ascii="Palatino Linotype" w:eastAsia="Calibri" w:hAnsi="Palatino Linotype" w:cs="Tahoma"/>
          <w:sz w:val="24"/>
          <w:szCs w:val="24"/>
          <w:lang w:eastAsia="x-none"/>
        </w:rPr>
        <w:t>στην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αντικειμενική αξία, χωρίς να διευκρινίζεται εάν προκρίνεται η υψηλότερη, δημιουργώντας και στο σημείο αυτό ασάφεια</w:t>
      </w:r>
      <w:r w:rsidR="006E066F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και σχετική ευθύνη του συμβολαιογράφου.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</w:p>
    <w:p w14:paraId="30A4E6FD" w14:textId="5D4B1E94" w:rsidR="003D43C0" w:rsidRDefault="00581B03" w:rsidP="00977DC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D01BCE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3</w:t>
      </w:r>
      <w:r w:rsidR="005D0431" w:rsidRPr="00D01BCE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-</w:t>
      </w:r>
      <w:r w:rsidR="005D0431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ατά παράβαση του νόμου κατά τον οποίο ο υπόχρεος στην καταβολή του ΤΑΠ και υποσχόμενος το ακίνητο ελεύθερο χρέους είναι ο μεταβιβάζων, με την παράγραφο γ’ του ίδιου άρθρου, </w:t>
      </w:r>
      <w:r w:rsidR="00CC368F">
        <w:rPr>
          <w:rFonts w:ascii="Palatino Linotype" w:eastAsia="Calibri" w:hAnsi="Palatino Linotype" w:cs="Tahoma"/>
          <w:sz w:val="24"/>
          <w:szCs w:val="24"/>
          <w:lang w:eastAsia="x-none"/>
        </w:rPr>
        <w:t>ορίζεται η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δυνατότητα κατάθεσης της εγγύησης </w:t>
      </w:r>
      <w:r w:rsidR="00CC368F">
        <w:rPr>
          <w:rFonts w:ascii="Palatino Linotype" w:eastAsia="Calibri" w:hAnsi="Palatino Linotype" w:cs="Tahoma"/>
          <w:sz w:val="24"/>
          <w:szCs w:val="24"/>
          <w:lang w:eastAsia="x-none"/>
        </w:rPr>
        <w:t>από τον αποκτώντα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. </w:t>
      </w:r>
    </w:p>
    <w:p w14:paraId="2A8F126F" w14:textId="0A223498" w:rsidR="00977DC5" w:rsidRPr="00977DC5" w:rsidRDefault="00C72B33" w:rsidP="00977DC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D01BCE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4</w:t>
      </w:r>
      <w:r w:rsidR="003D43C0" w:rsidRPr="00D01BCE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-</w:t>
      </w:r>
      <w:r w:rsidR="003D43C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4506AA">
        <w:rPr>
          <w:rFonts w:ascii="Palatino Linotype" w:eastAsia="Calibri" w:hAnsi="Palatino Linotype" w:cs="Tahoma"/>
          <w:sz w:val="24"/>
          <w:szCs w:val="24"/>
          <w:lang w:eastAsia="x-none"/>
        </w:rPr>
        <w:t>Η</w:t>
      </w:r>
      <w:r w:rsidR="0020496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204966" w:rsidRPr="0020496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δυνατότητα κατάθεσης της εγγύησης εκ μέρους του αποκτώντος </w:t>
      </w:r>
      <w:r w:rsidR="004C208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γεννά </w:t>
      </w:r>
      <w:r w:rsidR="004C2080" w:rsidRPr="0074525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έντονα νομικά ζητήματα </w:t>
      </w:r>
      <w:r w:rsidR="004C208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καθώς η </w:t>
      </w:r>
      <w:r w:rsidR="00674160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άσκηση εκ μέρους του αποκτώντος της </w:t>
      </w:r>
      <w:r w:rsidR="004C2080">
        <w:rPr>
          <w:rFonts w:ascii="Palatino Linotype" w:eastAsia="Calibri" w:hAnsi="Palatino Linotype" w:cs="Tahoma"/>
          <w:sz w:val="24"/>
          <w:szCs w:val="24"/>
          <w:lang w:eastAsia="x-none"/>
        </w:rPr>
        <w:t>συγκεκριμένη</w:t>
      </w:r>
      <w:r w:rsidR="00674160">
        <w:rPr>
          <w:rFonts w:ascii="Palatino Linotype" w:eastAsia="Calibri" w:hAnsi="Palatino Linotype" w:cs="Tahoma"/>
          <w:sz w:val="24"/>
          <w:szCs w:val="24"/>
          <w:lang w:eastAsia="x-none"/>
        </w:rPr>
        <w:t>ς εναλλακτικής</w:t>
      </w:r>
      <w:r w:rsidR="00E929FE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204966">
        <w:rPr>
          <w:rFonts w:ascii="Palatino Linotype" w:eastAsia="Calibri" w:hAnsi="Palatino Linotype" w:cs="Tahoma"/>
          <w:sz w:val="24"/>
          <w:szCs w:val="24"/>
          <w:lang w:eastAsia="x-none"/>
        </w:rPr>
        <w:t>δύναται να ερμηνευτεί είτε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ως αναδοχή χρέους</w:t>
      </w:r>
      <w:r w:rsidR="0020496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είτε ως 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εγγύηση υπέρ τρίτου </w:t>
      </w:r>
      <w:r w:rsidR="0020496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είτε ακόμα και ως </w:t>
      </w:r>
      <w:r w:rsidR="00977DC5"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>προσαύξηση, κατά το ποσό της εγγύησης, του τιμήματος της μεταβίβασης εξ επαχθούς αιτίας ή της όλης αξίας της μεταβίβασης εκ χαριστικής αιτίας, με ό,τι αυτό συνεπάγεται από άποψη υποχρεώσεων καταβολής τελών και δικαιωμάτων.</w:t>
      </w:r>
    </w:p>
    <w:p w14:paraId="344C0AD4" w14:textId="582E54C9" w:rsidR="00E66954" w:rsidRDefault="00E85C5B" w:rsidP="00DC34E7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Συνεπώς, </w:t>
      </w:r>
      <w:r w:rsidR="006C4ED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με τις ανωτέρω νέες διατάξεις 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ο συμβολαιογράφος καθίσταται </w:t>
      </w:r>
      <w:r w:rsidRPr="00C07E25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υπόλογος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F25D5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για την έκδοση μίας απαραίτητης, επί ποινή ακυρότητας, για την ολοκλήρωση της συμβολαιογραφικής πράξης μεταβίβασης </w:t>
      </w:r>
      <w:r w:rsidR="00C07E2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και </w:t>
      </w:r>
      <w:r w:rsidR="00C07E25" w:rsidRPr="00C07E25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υπεύθυνος</w:t>
      </w:r>
      <w:r w:rsidR="00C07E2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φορολογικά και νομικά.</w:t>
      </w:r>
    </w:p>
    <w:p w14:paraId="2CEAC7BC" w14:textId="25166505" w:rsidR="003C3954" w:rsidRDefault="007C6A9E" w:rsidP="00DC34E7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Επιπροσθέτως, ο Δήμος Αθηναίων, ήδη, </w:t>
      </w:r>
      <w:r w:rsidR="003A2F9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αρχές της εβδομάδας 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με σχετική απόφαση του Δημοτικού </w:t>
      </w:r>
      <w:r w:rsidR="008A097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του </w:t>
      </w:r>
      <w:r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Συμβουλίου, </w:t>
      </w:r>
      <w:r w:rsidR="003A2F9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αποφάσισε </w:t>
      </w:r>
      <w:r w:rsidR="00E9798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την κατάργηση της έκδοσης της Βεβαίωσης περί μη οφειλής ΤΑΠ και την αντικατάστασή της </w:t>
      </w:r>
      <w:r w:rsidR="00E97988">
        <w:rPr>
          <w:rFonts w:ascii="Palatino Linotype" w:eastAsia="Calibri" w:hAnsi="Palatino Linotype" w:cs="Tahoma"/>
          <w:sz w:val="24"/>
          <w:szCs w:val="24"/>
          <w:lang w:eastAsia="x-none"/>
        </w:rPr>
        <w:lastRenderedPageBreak/>
        <w:t xml:space="preserve">μέσω των </w:t>
      </w:r>
      <w:r w:rsidR="00E97988">
        <w:rPr>
          <w:rFonts w:ascii="Palatino Linotype" w:eastAsia="Calibri" w:hAnsi="Palatino Linotype" w:cs="Tahoma"/>
          <w:sz w:val="24"/>
          <w:szCs w:val="24"/>
          <w:lang w:val="en-US" w:eastAsia="x-none"/>
        </w:rPr>
        <w:t>e</w:t>
      </w:r>
      <w:r w:rsidR="00E97988" w:rsidRPr="00E97988">
        <w:rPr>
          <w:rFonts w:ascii="Palatino Linotype" w:eastAsia="Calibri" w:hAnsi="Palatino Linotype" w:cs="Tahoma"/>
          <w:sz w:val="24"/>
          <w:szCs w:val="24"/>
          <w:lang w:eastAsia="x-none"/>
        </w:rPr>
        <w:t>-</w:t>
      </w:r>
      <w:r w:rsidR="00E97988">
        <w:rPr>
          <w:rFonts w:ascii="Palatino Linotype" w:eastAsia="Calibri" w:hAnsi="Palatino Linotype" w:cs="Tahoma"/>
          <w:sz w:val="24"/>
          <w:szCs w:val="24"/>
          <w:lang w:val="en-US" w:eastAsia="x-none"/>
        </w:rPr>
        <w:t>services</w:t>
      </w:r>
      <w:r w:rsidR="00E97988" w:rsidRPr="00E9798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E97988">
        <w:rPr>
          <w:rFonts w:ascii="Palatino Linotype" w:eastAsia="Calibri" w:hAnsi="Palatino Linotype" w:cs="Tahoma"/>
          <w:sz w:val="24"/>
          <w:szCs w:val="24"/>
          <w:lang w:eastAsia="x-none"/>
        </w:rPr>
        <w:t>στην ιστοσελίδα του Δήμου</w:t>
      </w:r>
      <w:r w:rsidR="00D146D9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8B01E5">
        <w:rPr>
          <w:rFonts w:ascii="Palatino Linotype" w:eastAsia="Calibri" w:hAnsi="Palatino Linotype" w:cs="Tahoma"/>
          <w:sz w:val="24"/>
          <w:szCs w:val="24"/>
          <w:lang w:eastAsia="x-none"/>
        </w:rPr>
        <w:t>από μία απλή α</w:t>
      </w:r>
      <w:r w:rsidR="00D146D9">
        <w:rPr>
          <w:rFonts w:ascii="Palatino Linotype" w:eastAsia="Calibri" w:hAnsi="Palatino Linotype" w:cs="Tahoma"/>
          <w:sz w:val="24"/>
          <w:szCs w:val="24"/>
          <w:lang w:eastAsia="x-none"/>
        </w:rPr>
        <w:t>ίτηση περί μεταβίβασης ακινήτου του ν.4915/2022</w:t>
      </w:r>
      <w:r w:rsidR="003A2F94">
        <w:rPr>
          <w:rFonts w:ascii="Palatino Linotype" w:eastAsia="Calibri" w:hAnsi="Palatino Linotype" w:cs="Tahoma"/>
          <w:sz w:val="24"/>
          <w:szCs w:val="24"/>
          <w:lang w:eastAsia="x-none"/>
        </w:rPr>
        <w:t>,</w:t>
      </w:r>
      <w:r w:rsidR="00836942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η οποία θα συμπληρώνεται από τον </w:t>
      </w:r>
      <w:r w:rsidR="00836942" w:rsidRPr="005A171B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συμβολαιογράφο</w:t>
      </w:r>
      <w:r w:rsidR="008B01E5">
        <w:rPr>
          <w:rFonts w:ascii="Palatino Linotype" w:eastAsia="Calibri" w:hAnsi="Palatino Linotype" w:cs="Tahoma"/>
          <w:sz w:val="24"/>
          <w:szCs w:val="24"/>
          <w:lang w:eastAsia="x-none"/>
        </w:rPr>
        <w:t>,</w:t>
      </w:r>
      <w:r w:rsidR="00836942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39054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με συγκεκριμένα πεδία </w:t>
      </w:r>
      <w:r w:rsidR="008B01E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(μισής σελίδας περίπου) </w:t>
      </w:r>
      <w:r w:rsidR="0039054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και </w:t>
      </w:r>
      <w:r w:rsidR="00390544" w:rsidRPr="005A171B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με βάση τα στοιχεία που θα προκύπτουν από τα έγγραφα που θα προσκομίζει ο μεταβιβάζων στο συμβολαιογράφο</w:t>
      </w:r>
      <w:r w:rsidR="003C3954">
        <w:rPr>
          <w:rFonts w:ascii="Palatino Linotype" w:eastAsia="Calibri" w:hAnsi="Palatino Linotype" w:cs="Tahoma"/>
          <w:sz w:val="24"/>
          <w:szCs w:val="24"/>
          <w:lang w:eastAsia="x-none"/>
        </w:rPr>
        <w:t>. Η εν λόγω αίτηση, συμπληρωμένη, θα επέχει θέση Βεβαίωσης περί μη οφειλής ΤΑΠ για τ</w:t>
      </w:r>
      <w:r w:rsidR="00132DE6">
        <w:rPr>
          <w:rFonts w:ascii="Palatino Linotype" w:eastAsia="Calibri" w:hAnsi="Palatino Linotype" w:cs="Tahoma"/>
          <w:sz w:val="24"/>
          <w:szCs w:val="24"/>
          <w:lang w:eastAsia="x-none"/>
        </w:rPr>
        <w:t>α μεταβιβαζόμενα ακίνητα του</w:t>
      </w:r>
      <w:r w:rsidR="003C395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Δήμο</w:t>
      </w:r>
      <w:r w:rsidR="00A373F8">
        <w:rPr>
          <w:rFonts w:ascii="Palatino Linotype" w:eastAsia="Calibri" w:hAnsi="Palatino Linotype" w:cs="Tahoma"/>
          <w:sz w:val="24"/>
          <w:szCs w:val="24"/>
          <w:lang w:eastAsia="x-none"/>
        </w:rPr>
        <w:t>υ</w:t>
      </w:r>
      <w:r w:rsidR="003C395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Αθηναίων.</w:t>
      </w:r>
    </w:p>
    <w:p w14:paraId="33789A2A" w14:textId="0C69DD41" w:rsidR="00977DC5" w:rsidRPr="00977DC5" w:rsidRDefault="00977DC5" w:rsidP="00977DC5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>Για όλους τους παραπάνω λόγους, καλούμε όλα τα μέλη, για την δική τους προστασία, να τηρήσουν ενιαία πρακτική και να συνεχίσουν να αναζητούν τ</w:t>
      </w:r>
      <w:r w:rsidR="005F0B96">
        <w:rPr>
          <w:rFonts w:ascii="Palatino Linotype" w:eastAsia="Calibri" w:hAnsi="Palatino Linotype" w:cs="Tahoma"/>
          <w:sz w:val="24"/>
          <w:szCs w:val="24"/>
          <w:lang w:eastAsia="x-none"/>
        </w:rPr>
        <w:t>η βεβαίωση περί μη οφειλής ΤΑΠ από τον αρμόδιο Δήμο</w:t>
      </w:r>
      <w:r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με την </w:t>
      </w:r>
      <w:r w:rsidR="005F0B96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οικεία σε όλους μας </w:t>
      </w:r>
      <w:r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>διαδικασία που μέχρι σήμερα υπήρχε και συνεχίζει να υφίσταται</w:t>
      </w:r>
      <w:r w:rsidR="00C03004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</w:t>
      </w:r>
      <w:r w:rsidR="00C03004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χωρίς την </w:t>
      </w:r>
      <w:r w:rsidR="00D72070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ενεργή </w:t>
      </w:r>
      <w:r w:rsidR="00C03004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εμπλοκή του συμβολαιογράφου </w:t>
      </w:r>
      <w:r w:rsidR="00F32908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με την καταβολή εγγυοδ</w:t>
      </w:r>
      <w:r w:rsidR="000F72D3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οσίας από αυτόν </w:t>
      </w:r>
      <w:r w:rsidR="00C03004">
        <w:rPr>
          <w:rFonts w:ascii="Palatino Linotype" w:eastAsia="Calibri" w:hAnsi="Palatino Linotype" w:cs="Tahoma"/>
          <w:sz w:val="24"/>
          <w:szCs w:val="24"/>
          <w:lang w:eastAsia="x-none"/>
        </w:rPr>
        <w:t>στη διαδικασ</w:t>
      </w:r>
      <w:r w:rsidR="00D72070">
        <w:rPr>
          <w:rFonts w:ascii="Palatino Linotype" w:eastAsia="Calibri" w:hAnsi="Palatino Linotype" w:cs="Tahoma"/>
          <w:sz w:val="24"/>
          <w:szCs w:val="24"/>
          <w:lang w:eastAsia="x-none"/>
        </w:rPr>
        <w:t>ία έκδοσης της σχετικής βεβαίωσης</w:t>
      </w:r>
      <w:r w:rsidRPr="00977DC5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p w14:paraId="098CCFF3" w14:textId="0E2DCBEA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7A12461C" w14:textId="635084E8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 w:rsidRPr="0024185F"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06E80AE7" w14:textId="7751E057" w:rsidR="00855B29" w:rsidRPr="0024185F" w:rsidRDefault="009354DB" w:rsidP="00C60A22">
      <w:pPr>
        <w:spacing w:before="120" w:after="120" w:line="360" w:lineRule="auto"/>
        <w:jc w:val="center"/>
        <w:rPr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 xml:space="preserve">Γεώργιος </w:t>
      </w:r>
      <w:proofErr w:type="spellStart"/>
      <w:r w:rsidRPr="0024185F">
        <w:rPr>
          <w:rFonts w:ascii="Palatino Linotype" w:eastAsia="Calibri" w:hAnsi="Palatino Linotype" w:cs="Tahoma"/>
          <w:sz w:val="24"/>
          <w:szCs w:val="24"/>
        </w:rPr>
        <w:t>Ρούσκας</w:t>
      </w:r>
      <w:proofErr w:type="spellEnd"/>
    </w:p>
    <w:sectPr w:rsidR="00855B29" w:rsidRPr="0024185F" w:rsidSect="007E21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5211" w14:textId="77777777" w:rsidR="00C90B4D" w:rsidRDefault="00C90B4D" w:rsidP="007E2155">
      <w:pPr>
        <w:spacing w:after="0" w:line="240" w:lineRule="auto"/>
      </w:pPr>
      <w:r>
        <w:separator/>
      </w:r>
    </w:p>
  </w:endnote>
  <w:endnote w:type="continuationSeparator" w:id="0">
    <w:p w14:paraId="4965A66F" w14:textId="77777777" w:rsidR="00C90B4D" w:rsidRDefault="00C90B4D" w:rsidP="007E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035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32557" w14:textId="72805A88" w:rsidR="007E2155" w:rsidRDefault="007E2155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4407A" w14:textId="77777777" w:rsidR="007E2155" w:rsidRDefault="007E2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17FC" w14:textId="77777777" w:rsidR="00C90B4D" w:rsidRDefault="00C90B4D" w:rsidP="007E2155">
      <w:pPr>
        <w:spacing w:after="0" w:line="240" w:lineRule="auto"/>
      </w:pPr>
      <w:r>
        <w:separator/>
      </w:r>
    </w:p>
  </w:footnote>
  <w:footnote w:type="continuationSeparator" w:id="0">
    <w:p w14:paraId="7782FCCA" w14:textId="77777777" w:rsidR="00C90B4D" w:rsidRDefault="00C90B4D" w:rsidP="007E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722" w14:textId="2B5C7719" w:rsidR="007E2155" w:rsidRDefault="007E21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4E19" w14:textId="1551BA73" w:rsidR="007E2155" w:rsidRDefault="007E21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3348" w14:textId="391D1286" w:rsidR="007E2155" w:rsidRDefault="007E21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415C"/>
    <w:multiLevelType w:val="hybridMultilevel"/>
    <w:tmpl w:val="31F290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B52"/>
    <w:multiLevelType w:val="hybridMultilevel"/>
    <w:tmpl w:val="32C89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2"/>
    <w:rsid w:val="000400D0"/>
    <w:rsid w:val="00055206"/>
    <w:rsid w:val="00066039"/>
    <w:rsid w:val="000A04FD"/>
    <w:rsid w:val="000C0EF6"/>
    <w:rsid w:val="000C25E2"/>
    <w:rsid w:val="000C3D80"/>
    <w:rsid w:val="000F72D3"/>
    <w:rsid w:val="00126546"/>
    <w:rsid w:val="00132DE6"/>
    <w:rsid w:val="00151DD9"/>
    <w:rsid w:val="001701EF"/>
    <w:rsid w:val="001F54BC"/>
    <w:rsid w:val="00204966"/>
    <w:rsid w:val="0024185F"/>
    <w:rsid w:val="002465A2"/>
    <w:rsid w:val="0028248B"/>
    <w:rsid w:val="00284056"/>
    <w:rsid w:val="002A044C"/>
    <w:rsid w:val="002B2AF3"/>
    <w:rsid w:val="002D3612"/>
    <w:rsid w:val="002E221F"/>
    <w:rsid w:val="00332277"/>
    <w:rsid w:val="00332983"/>
    <w:rsid w:val="00352AB6"/>
    <w:rsid w:val="00354406"/>
    <w:rsid w:val="00360A78"/>
    <w:rsid w:val="00371CBB"/>
    <w:rsid w:val="00390544"/>
    <w:rsid w:val="00396617"/>
    <w:rsid w:val="003A2F94"/>
    <w:rsid w:val="003C3954"/>
    <w:rsid w:val="003D43C0"/>
    <w:rsid w:val="003D6F4D"/>
    <w:rsid w:val="003E23D5"/>
    <w:rsid w:val="00417B26"/>
    <w:rsid w:val="004506AA"/>
    <w:rsid w:val="004574AD"/>
    <w:rsid w:val="00462E24"/>
    <w:rsid w:val="00477EB8"/>
    <w:rsid w:val="004C2080"/>
    <w:rsid w:val="004C517D"/>
    <w:rsid w:val="004D199B"/>
    <w:rsid w:val="004D7776"/>
    <w:rsid w:val="004E2ECF"/>
    <w:rsid w:val="00510DE7"/>
    <w:rsid w:val="00530884"/>
    <w:rsid w:val="00555BDB"/>
    <w:rsid w:val="005643E9"/>
    <w:rsid w:val="00581B03"/>
    <w:rsid w:val="005A171B"/>
    <w:rsid w:val="005C510F"/>
    <w:rsid w:val="005D0431"/>
    <w:rsid w:val="005F098B"/>
    <w:rsid w:val="005F0B96"/>
    <w:rsid w:val="00600AF7"/>
    <w:rsid w:val="006044E8"/>
    <w:rsid w:val="006166B4"/>
    <w:rsid w:val="00674160"/>
    <w:rsid w:val="00676F2D"/>
    <w:rsid w:val="006A6385"/>
    <w:rsid w:val="006C2540"/>
    <w:rsid w:val="006C4ED7"/>
    <w:rsid w:val="006D40A6"/>
    <w:rsid w:val="006E066F"/>
    <w:rsid w:val="00707F8B"/>
    <w:rsid w:val="00745257"/>
    <w:rsid w:val="0076467B"/>
    <w:rsid w:val="007B0104"/>
    <w:rsid w:val="007C6A9E"/>
    <w:rsid w:val="007E2155"/>
    <w:rsid w:val="008100E9"/>
    <w:rsid w:val="0082763C"/>
    <w:rsid w:val="00836942"/>
    <w:rsid w:val="008463CC"/>
    <w:rsid w:val="00862D81"/>
    <w:rsid w:val="0088563A"/>
    <w:rsid w:val="008A0976"/>
    <w:rsid w:val="008B01E5"/>
    <w:rsid w:val="008B3182"/>
    <w:rsid w:val="008B5F7C"/>
    <w:rsid w:val="008C1295"/>
    <w:rsid w:val="008C3F15"/>
    <w:rsid w:val="008D22B4"/>
    <w:rsid w:val="008D7DF8"/>
    <w:rsid w:val="008E4D90"/>
    <w:rsid w:val="00902F8C"/>
    <w:rsid w:val="00915534"/>
    <w:rsid w:val="009354DB"/>
    <w:rsid w:val="00954E61"/>
    <w:rsid w:val="00977DC5"/>
    <w:rsid w:val="009B7258"/>
    <w:rsid w:val="009B7F77"/>
    <w:rsid w:val="00A038AA"/>
    <w:rsid w:val="00A17043"/>
    <w:rsid w:val="00A23E33"/>
    <w:rsid w:val="00A373F8"/>
    <w:rsid w:val="00A568DF"/>
    <w:rsid w:val="00AD6868"/>
    <w:rsid w:val="00AF138B"/>
    <w:rsid w:val="00B04E4D"/>
    <w:rsid w:val="00BC31EB"/>
    <w:rsid w:val="00BC4812"/>
    <w:rsid w:val="00BF5973"/>
    <w:rsid w:val="00C03004"/>
    <w:rsid w:val="00C07E25"/>
    <w:rsid w:val="00C60A22"/>
    <w:rsid w:val="00C72B33"/>
    <w:rsid w:val="00C72BBE"/>
    <w:rsid w:val="00C872A0"/>
    <w:rsid w:val="00C90B4D"/>
    <w:rsid w:val="00CA771A"/>
    <w:rsid w:val="00CC1818"/>
    <w:rsid w:val="00CC368F"/>
    <w:rsid w:val="00D01BCE"/>
    <w:rsid w:val="00D146D9"/>
    <w:rsid w:val="00D3278F"/>
    <w:rsid w:val="00D40FC2"/>
    <w:rsid w:val="00D41336"/>
    <w:rsid w:val="00D72070"/>
    <w:rsid w:val="00D864AC"/>
    <w:rsid w:val="00D9464C"/>
    <w:rsid w:val="00DC34E7"/>
    <w:rsid w:val="00DE5A85"/>
    <w:rsid w:val="00DE6073"/>
    <w:rsid w:val="00E0103C"/>
    <w:rsid w:val="00E66954"/>
    <w:rsid w:val="00E6771A"/>
    <w:rsid w:val="00E70860"/>
    <w:rsid w:val="00E85C5B"/>
    <w:rsid w:val="00E929FE"/>
    <w:rsid w:val="00E97988"/>
    <w:rsid w:val="00EA7380"/>
    <w:rsid w:val="00EE336B"/>
    <w:rsid w:val="00EF139A"/>
    <w:rsid w:val="00F122C6"/>
    <w:rsid w:val="00F251FE"/>
    <w:rsid w:val="00F25D56"/>
    <w:rsid w:val="00F32908"/>
    <w:rsid w:val="00F633B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5F76"/>
  <w15:docId w15:val="{25732CAF-2146-4029-BB33-4EDC278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686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D6868"/>
    <w:rPr>
      <w:color w:val="605E5C"/>
      <w:shd w:val="clear" w:color="auto" w:fill="E1DFDD"/>
    </w:rPr>
  </w:style>
  <w:style w:type="paragraph" w:styleId="a4">
    <w:name w:val="header"/>
    <w:basedOn w:val="a"/>
    <w:link w:val="Char0"/>
    <w:uiPriority w:val="99"/>
    <w:unhideWhenUsed/>
    <w:rsid w:val="007E2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E2155"/>
  </w:style>
  <w:style w:type="paragraph" w:styleId="a5">
    <w:name w:val="footer"/>
    <w:basedOn w:val="a"/>
    <w:link w:val="Char1"/>
    <w:uiPriority w:val="99"/>
    <w:unhideWhenUsed/>
    <w:rsid w:val="007E21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E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Syllogoslaptop4</cp:lastModifiedBy>
  <cp:revision>2</cp:revision>
  <dcterms:created xsi:type="dcterms:W3CDTF">2022-04-04T06:42:00Z</dcterms:created>
  <dcterms:modified xsi:type="dcterms:W3CDTF">2022-04-04T06:42:00Z</dcterms:modified>
</cp:coreProperties>
</file>