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6D7D2381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E24850">
              <w:rPr>
                <w:rFonts w:ascii="Book Antiqua" w:hAnsi="Book Antiqua"/>
              </w:rPr>
              <w:t>8</w:t>
            </w:r>
            <w:r w:rsidR="00E30847">
              <w:rPr>
                <w:rFonts w:ascii="Book Antiqua" w:hAnsi="Book Antiqua"/>
              </w:rPr>
              <w:t xml:space="preserve"> Μαρτίου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6288ED9B" w:rsidR="000A7D6A" w:rsidRPr="00422D9E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422D9E">
              <w:rPr>
                <w:rFonts w:ascii="Book Antiqua" w:hAnsi="Book Antiqua"/>
                <w:lang w:val="en-US"/>
              </w:rPr>
              <w:t>42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397AA4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287828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val="en-US" w:eastAsia="x-none"/>
        </w:rPr>
      </w:pPr>
    </w:p>
    <w:p w14:paraId="456C2C93" w14:textId="4074E678" w:rsidR="006B631C" w:rsidRPr="00287828" w:rsidRDefault="00A53994" w:rsidP="006B631C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: </w:t>
      </w:r>
      <w:r w:rsidR="00D540D8"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«</w:t>
      </w:r>
      <w:r w:rsidR="00653AEE"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Νέες δ</w:t>
      </w:r>
      <w:r w:rsidR="0063438A"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ιατάξεις </w:t>
      </w:r>
      <w:r w:rsidR="00653AEE"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περί ΤΑΠ</w:t>
      </w:r>
      <w:r w:rsidR="008E7975" w:rsidRPr="0028782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  <w:r w:rsidR="005F1231" w:rsidRPr="00287828">
        <w:rPr>
          <w:rFonts w:ascii="Palatino Linotype" w:eastAsia="Times New Roman" w:hAnsi="Palatino Linotype" w:cs="Tahoma"/>
          <w:b/>
          <w:i/>
          <w:iCs/>
          <w:spacing w:val="40"/>
          <w:sz w:val="24"/>
          <w:szCs w:val="24"/>
          <w:lang w:eastAsia="x-none"/>
        </w:rPr>
        <w:t>.</w:t>
      </w:r>
    </w:p>
    <w:p w14:paraId="0F57D1F2" w14:textId="77777777" w:rsidR="00287828" w:rsidRPr="00287828" w:rsidRDefault="00287828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bookmarkStart w:id="0" w:name="_GoBack"/>
      <w:bookmarkEnd w:id="0"/>
    </w:p>
    <w:p w14:paraId="6D84677D" w14:textId="77777777" w:rsidR="00A53994" w:rsidRPr="00287828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29820964" w14:textId="4229AF92" w:rsidR="00653AEE" w:rsidRDefault="00E93101" w:rsidP="002134B6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val="en-US" w:eastAsia="x-none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Ψηφίστηκε χθες το</w:t>
      </w:r>
      <w:r w:rsidR="002134B6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53AEE" w:rsidRPr="00287828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σχέδιο νόμου </w:t>
      </w:r>
      <w:r w:rsidR="00653AEE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του Υπουργείου Δικαιοσύνης με τίτλο 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«Αναδιάταξη περιφερειών και αποκέντρωση αρμοδιοτήτων των τ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κτικών διοικητ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κών δικαστηρίων, οργάνωση της τηλεματικής συνεδρίασης, μετατροπή μεταβατικών εδρών και ίδρυση δικαστικών γραφείων τηλεματ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="00653AEE" w:rsidRPr="0028782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κής - Λοιπές επείγουσες ρυθμίσεις του Υπουργείου Δικαιοσύνης»</w:t>
      </w:r>
      <w:r w:rsidR="00653AEE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που συζ</w:t>
      </w:r>
      <w:r w:rsidR="00653AEE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="00653AEE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τήθηκε χθες στη Βουλή των Ε</w:t>
      </w:r>
      <w:r w:rsidR="00653AEE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λ</w:t>
      </w:r>
      <w:r w:rsidR="00653AEE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λήνων, περιλαμβάνεται τροπολογία που αφορά σε ρυθμίσεις για τη βεβαίωση περί μη οφειλής Τέλους Ακίνητης Περιουσίας (Τ.Α.Π.) - Τροποποίηση περ. α΄ παρ. 18 άρθρου 24 ν.2130/1993.</w:t>
      </w:r>
    </w:p>
    <w:p w14:paraId="160B5841" w14:textId="13E33E91" w:rsidR="00287828" w:rsidRPr="00287828" w:rsidRDefault="00287828" w:rsidP="00287828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Σημειώνεται ότι η ανωτέρω ρύθμιση είναι προϊόν συνάντησης της αντιπροσωπ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ίας της ΣΕΣΣΕ με τον κύριο Υπουργό Ψηφιακής Διακυβέ</w:t>
      </w: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ρ</w:t>
      </w: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νησης.</w:t>
      </w:r>
    </w:p>
    <w:p w14:paraId="310D937F" w14:textId="1E6A4D7F" w:rsidR="00653AEE" w:rsidRPr="00287828" w:rsidRDefault="00653AEE" w:rsidP="002134B6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Ειδικότερα, στο άρθρο </w:t>
      </w:r>
      <w:r w:rsidR="00E93101"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42 του νόμου</w:t>
      </w: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ορίζονται τα εξής:</w:t>
      </w:r>
    </w:p>
    <w:p w14:paraId="2D1C8979" w14:textId="7C294655" w:rsidR="00653AEE" w:rsidRPr="00287828" w:rsidRDefault="00653AEE" w:rsidP="00653AEE">
      <w:pPr>
        <w:spacing w:before="120" w:after="12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  <w:lastRenderedPageBreak/>
        <w:t xml:space="preserve">Άρθρο </w:t>
      </w:r>
      <w:r w:rsidR="00E93101" w:rsidRPr="00287828"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  <w:t>42</w:t>
      </w:r>
    </w:p>
    <w:p w14:paraId="3F7DC356" w14:textId="0CF25F70" w:rsidR="00653AEE" w:rsidRPr="00287828" w:rsidRDefault="00653AEE" w:rsidP="00653AEE">
      <w:pPr>
        <w:spacing w:before="120" w:after="12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  <w:t>Ρυθμίσεις για τη βεβαίωση περί μη οφειλής Τέλους Ακίνητης Περιο</w:t>
      </w:r>
      <w:r w:rsidRPr="00287828"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  <w:t>υ</w:t>
      </w:r>
      <w:r w:rsidRPr="00287828">
        <w:rPr>
          <w:rFonts w:ascii="Palatino Linotype" w:eastAsia="Times New Roman" w:hAnsi="Palatino Linotype" w:cs="Arial"/>
          <w:b/>
          <w:bCs/>
          <w:sz w:val="24"/>
          <w:szCs w:val="24"/>
          <w:lang w:eastAsia="x-none"/>
        </w:rPr>
        <w:t>σίας (Τ.Α.Π.) - Τροποποίηση περ. α' παρ. 18 άρθρου 24 ν. 2130/1993</w:t>
      </w:r>
    </w:p>
    <w:p w14:paraId="6B794055" w14:textId="77777777" w:rsidR="00287828" w:rsidRDefault="00287828" w:rsidP="00653AEE">
      <w:pPr>
        <w:spacing w:before="120" w:after="12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x-none"/>
        </w:rPr>
      </w:pPr>
    </w:p>
    <w:p w14:paraId="7651EE1B" w14:textId="77777777" w:rsidR="00653AEE" w:rsidRPr="00287828" w:rsidRDefault="00653AEE" w:rsidP="00287828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Στην </w:t>
      </w:r>
      <w:proofErr w:type="spellStart"/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περ</w:t>
      </w:r>
      <w:proofErr w:type="spellEnd"/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. α' της παρ. 18 του άρθρου 24 του v. 2130/1993 (Α'62) επέ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ρ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χονται οι εξής αλλαγές: α) στο δεύτερο εδάφιο αα) προστίθεται η φράση «χορηγείται κατόπιν αιτ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ή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σεως του ιδιοκτήτη ή» </w:t>
      </w:r>
      <w:proofErr w:type="spellStart"/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αβ</w:t>
      </w:r>
      <w:proofErr w:type="spellEnd"/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) οι λέξεις «για ένα (1) έτος από την έκδοσή της» αντικαθ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ί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στανται από τις λέξεις «μέχρι το τέλος του έτους έκδοσής της)&gt; και β) προστίθενται τέταρτο και πέμπτο εδάφια και η περ. α' της παρ. 18 διαμορφών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ε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ται ως εξής:</w:t>
      </w:r>
    </w:p>
    <w:p w14:paraId="3274539B" w14:textId="752D71F2" w:rsidR="00653AEE" w:rsidRPr="00287828" w:rsidRDefault="00653AEE" w:rsidP="00287828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«18.α. Σε περίπτωση μεταβίβασης της κυριότητας των πάσης φύσ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ε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ως ακίνητων για οποιαδήποτε αιτία και προ της υπογραφής του συμβ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λαίου, απαιτείται βεβαίωση περί μη οφειλής Τέλους Ακίνητης Περιουσίας (Τ.Α.Π.), άλλως η συμβ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λαιογραφική πράξη είναι άκυρη και δεν επάγεται οποιαδήποτε έννομη συνέπε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ι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α. Η βεβαίωση χορηγείται κατόπιν αιτήσεως του ιδιοκτήτη ή αναζητείται αυτεπάγγελτα από τον συμβ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λαιογράφο ή προσκομίζεται από τον μεταβιβάζοντα, εκδίδεται εντός πέντε (5) ημ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ε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ρών με βάση τα στοιχεία που τηρεί ηλεκτρονικά ο δήμος και ισχύει μέχρι το τέλος του έτους έκδοσής της. Η βεβαίωση που χορηγεί ο δήμος δύναται να είναι και ψηφιακή και να χρησιμοποιείται και για την ηλεκτρονική μετ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α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βίβαση του ακινήτου. Ο δήμος ζητά ως δικαιολογητικά για τη χ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ρήγηση της βεβαίωσης μόνον α) για την περίπτωση ηλεκτροδοτούμενο</w:t>
      </w:r>
      <w:r w:rsid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υ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 ακιν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ή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του, φωτοτυπία τελευταίου λογαριασμού ρεύματος μαζί με το αποδεικτικό 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ε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ξόφλησής του και Πιστοποιητικό Πληρότητας Ταυτότητας Κτιρ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ί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ου/Διηρημένης Ιδιοκτησίας, και β) για την περίπτωση μη ηλεκτροδοτούμ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ε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νο</w:t>
      </w:r>
      <w:r w:rsid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υ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 ακιν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ή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του, βεβαίωση διακοπής ηλεκτροδότησης από τον Διαχειριστή Ελληνικού Δικτύου Διανομής Ηλεκτρικής Ενέργειας (ΔΕΔΔΗΕ), με ημερ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lastRenderedPageBreak/>
        <w:t>μηνία διακοπής, Πιστοποιητικό Πληρότητας Ταυτότητας Κτιρ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ί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ου/Διηρημένης Ιδιοκτησίας και υπεύθυνη δήλωση του ιδιοκτ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ή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τη για τη μη χρήση του ακινήτου. Η βεβαίωση εκδίδεται για τα τετραγων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ι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κά μέτρα που αναφέρονται στο Πιστοποιητικό Πληρότητας Ταυτότητας Κτιρ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ί</w:t>
      </w:r>
      <w:r w:rsidRPr="00287828">
        <w:rPr>
          <w:rFonts w:ascii="Palatino Linotype" w:eastAsia="Times New Roman" w:hAnsi="Palatino Linotype" w:cs="Arial"/>
          <w:sz w:val="24"/>
          <w:szCs w:val="24"/>
          <w:lang w:eastAsia="x-none"/>
        </w:rPr>
        <w:t>ου/Διηρημένης Ιδιοκτησίας.».</w:t>
      </w:r>
    </w:p>
    <w:p w14:paraId="647D851F" w14:textId="10C11B5D" w:rsidR="00A53994" w:rsidRPr="0028782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13A81FDF" w:rsidR="00A53994" w:rsidRPr="0028782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287828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28782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287828" w:rsidSect="00287828">
      <w:pgSz w:w="11906" w:h="16838"/>
      <w:pgMar w:top="1588" w:right="1797" w:bottom="153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E519" w14:textId="77777777" w:rsidR="00136608" w:rsidRDefault="00136608" w:rsidP="00654B3B">
      <w:pPr>
        <w:spacing w:after="0" w:line="240" w:lineRule="auto"/>
      </w:pPr>
      <w:r>
        <w:separator/>
      </w:r>
    </w:p>
  </w:endnote>
  <w:endnote w:type="continuationSeparator" w:id="0">
    <w:p w14:paraId="02A4CBCD" w14:textId="77777777" w:rsidR="00136608" w:rsidRDefault="00136608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CB28" w14:textId="77777777" w:rsidR="00136608" w:rsidRDefault="00136608" w:rsidP="00654B3B">
      <w:pPr>
        <w:spacing w:after="0" w:line="240" w:lineRule="auto"/>
      </w:pPr>
      <w:r>
        <w:separator/>
      </w:r>
    </w:p>
  </w:footnote>
  <w:footnote w:type="continuationSeparator" w:id="0">
    <w:p w14:paraId="3468688E" w14:textId="77777777" w:rsidR="00136608" w:rsidRDefault="00136608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13711"/>
    <w:rsid w:val="00135E8D"/>
    <w:rsid w:val="00136608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1F6A51"/>
    <w:rsid w:val="00205021"/>
    <w:rsid w:val="002134B6"/>
    <w:rsid w:val="00261ABA"/>
    <w:rsid w:val="00287828"/>
    <w:rsid w:val="002A3EF9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70648"/>
    <w:rsid w:val="00397AA4"/>
    <w:rsid w:val="003B25F7"/>
    <w:rsid w:val="004007B2"/>
    <w:rsid w:val="0041659F"/>
    <w:rsid w:val="00422D9E"/>
    <w:rsid w:val="00427717"/>
    <w:rsid w:val="00432056"/>
    <w:rsid w:val="00436F42"/>
    <w:rsid w:val="004419B0"/>
    <w:rsid w:val="00460D7D"/>
    <w:rsid w:val="004A3061"/>
    <w:rsid w:val="004A52F9"/>
    <w:rsid w:val="004C28BD"/>
    <w:rsid w:val="004D5DFA"/>
    <w:rsid w:val="004E21AF"/>
    <w:rsid w:val="004E5658"/>
    <w:rsid w:val="005109E0"/>
    <w:rsid w:val="00527A72"/>
    <w:rsid w:val="005420FB"/>
    <w:rsid w:val="0054297F"/>
    <w:rsid w:val="00554F39"/>
    <w:rsid w:val="00585A4B"/>
    <w:rsid w:val="005E1A16"/>
    <w:rsid w:val="005E63FA"/>
    <w:rsid w:val="005F1231"/>
    <w:rsid w:val="00607524"/>
    <w:rsid w:val="0063438A"/>
    <w:rsid w:val="00634AE3"/>
    <w:rsid w:val="00636B0C"/>
    <w:rsid w:val="00653AEE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56CB5"/>
    <w:rsid w:val="00882480"/>
    <w:rsid w:val="008877B6"/>
    <w:rsid w:val="008A59B7"/>
    <w:rsid w:val="008B122F"/>
    <w:rsid w:val="008B4734"/>
    <w:rsid w:val="008B4FF5"/>
    <w:rsid w:val="008D75B5"/>
    <w:rsid w:val="008E369C"/>
    <w:rsid w:val="008E4B61"/>
    <w:rsid w:val="008E7975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B7AE5"/>
    <w:rsid w:val="009C23E9"/>
    <w:rsid w:val="009D1646"/>
    <w:rsid w:val="009E28CF"/>
    <w:rsid w:val="009E6225"/>
    <w:rsid w:val="009E660E"/>
    <w:rsid w:val="00A36284"/>
    <w:rsid w:val="00A53994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71CA8"/>
    <w:rsid w:val="00BA5083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82A7C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C3A5A"/>
    <w:rsid w:val="00DC66BA"/>
    <w:rsid w:val="00DD7AD0"/>
    <w:rsid w:val="00E02326"/>
    <w:rsid w:val="00E1010F"/>
    <w:rsid w:val="00E117B4"/>
    <w:rsid w:val="00E124E3"/>
    <w:rsid w:val="00E15238"/>
    <w:rsid w:val="00E24850"/>
    <w:rsid w:val="00E30847"/>
    <w:rsid w:val="00E359C6"/>
    <w:rsid w:val="00E37024"/>
    <w:rsid w:val="00E4409C"/>
    <w:rsid w:val="00E500CE"/>
    <w:rsid w:val="00E93101"/>
    <w:rsid w:val="00EB5413"/>
    <w:rsid w:val="00EB5536"/>
    <w:rsid w:val="00EB5B43"/>
    <w:rsid w:val="00EC2F83"/>
    <w:rsid w:val="00EE07AF"/>
    <w:rsid w:val="00EE28D1"/>
    <w:rsid w:val="00F27E9B"/>
    <w:rsid w:val="00F35136"/>
    <w:rsid w:val="00F51F2F"/>
    <w:rsid w:val="00F53FA5"/>
    <w:rsid w:val="00F626C5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16BE0-4E42-4718-BB43-6EF741B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2023-03-03T11:08:00Z</cp:lastPrinted>
  <dcterms:created xsi:type="dcterms:W3CDTF">2023-03-08T11:57:00Z</dcterms:created>
  <dcterms:modified xsi:type="dcterms:W3CDTF">2023-03-08T12:10:00Z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