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42BC55D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4978B5">
              <w:rPr>
                <w:rFonts w:ascii="Book Antiqua" w:hAnsi="Book Antiqua"/>
              </w:rPr>
              <w:t>10</w:t>
            </w:r>
            <w:r w:rsidR="00E30847">
              <w:rPr>
                <w:rFonts w:ascii="Book Antiqua" w:hAnsi="Book Antiqua"/>
              </w:rPr>
              <w:t xml:space="preserve"> Μαρτίου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4EF43A58" w:rsidR="000A7D6A" w:rsidRPr="005D67D9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5D67D9">
              <w:rPr>
                <w:rFonts w:ascii="Book Antiqua" w:hAnsi="Book Antiqua"/>
                <w:lang w:val="en-US"/>
              </w:rPr>
              <w:t>45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397AA4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3BAD476C" w:rsidR="006B631C" w:rsidRPr="006B631C" w:rsidRDefault="00A53994" w:rsidP="00A5231A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A5231A" w:rsidRPr="00A5231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Άρθρο 42</w:t>
      </w:r>
      <w:r w:rsidR="00A5231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Ν.5028/2023 (Α΄54)</w:t>
      </w:r>
      <w:r w:rsidR="00A5231A" w:rsidRPr="00A5231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Ρυθμίσεις για τη βεβαίωση περί μη οφειλής Τέλους Ακίνητης Περιουσίας (Τ.Α.Π.) </w:t>
      </w:r>
      <w:r w:rsidR="00A5231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–</w:t>
      </w:r>
      <w:r w:rsidR="00A5231A" w:rsidRPr="00A5231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Τροποποίηση</w:t>
      </w:r>
      <w:r w:rsidR="00A5231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</w:t>
      </w:r>
      <w:r w:rsidR="00A5231A" w:rsidRPr="00A5231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περ. α’ παρ. 18 άρθρου 24 ν. 2130/1993</w:t>
      </w:r>
      <w:r w:rsidR="004978B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»</w:t>
      </w:r>
      <w:r w:rsidR="005F1231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.</w:t>
      </w:r>
    </w:p>
    <w:p w14:paraId="6D84677D" w14:textId="77777777" w:rsidR="00A53994" w:rsidRPr="008E369C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1000FF66" w14:textId="1E153CA1" w:rsidR="00A5231A" w:rsidRDefault="00261300" w:rsidP="00A5231A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Σας ενημερώνουμε ότι δημοσιεύτηκε</w:t>
      </w:r>
      <w:r w:rsidR="00A5231A">
        <w:rPr>
          <w:rFonts w:ascii="Palatino Linotype" w:eastAsia="Times New Roman" w:hAnsi="Palatino Linotype" w:cs="Tahoma"/>
          <w:lang w:eastAsia="x-none"/>
        </w:rPr>
        <w:t xml:space="preserve"> χθες, 09.03.2023,</w:t>
      </w:r>
      <w:r>
        <w:rPr>
          <w:rFonts w:ascii="Palatino Linotype" w:eastAsia="Times New Roman" w:hAnsi="Palatino Linotype" w:cs="Tahoma"/>
          <w:lang w:eastAsia="x-none"/>
        </w:rPr>
        <w:t xml:space="preserve"> στο ΦΕΚ </w:t>
      </w:r>
      <w:r w:rsidR="00A5231A">
        <w:rPr>
          <w:rFonts w:ascii="Palatino Linotype" w:eastAsia="Times New Roman" w:hAnsi="Palatino Linotype" w:cs="Tahoma"/>
          <w:lang w:eastAsia="x-none"/>
        </w:rPr>
        <w:t xml:space="preserve">Α΄54 ο Ν.5028/2023 με τίτλο </w:t>
      </w:r>
      <w:r w:rsidR="00A5231A" w:rsidRPr="00A5231A">
        <w:rPr>
          <w:rFonts w:ascii="Palatino Linotype" w:eastAsia="Times New Roman" w:hAnsi="Palatino Linotype" w:cs="Tahoma"/>
          <w:i/>
          <w:iCs/>
          <w:lang w:eastAsia="x-none"/>
        </w:rPr>
        <w:t>«Αναδιάταξη περιφερειών και αποκέντρωση αρμοδιοτήτων των τακτικών διοικητικών δικαστηρίων, οργάνωση της τηλεματικής συνεδρίασης, μετατροπή μεταβατικών εδρών και ίδρυση δικαστικών γραφείων τηλεματικής - Λοιπές επείγουσες ρυθμίσεις του Υπουργείου Δικαιοσύνης και άλλες διατάξεις»</w:t>
      </w:r>
      <w:r w:rsidR="00A5231A" w:rsidRPr="00A5231A">
        <w:rPr>
          <w:rFonts w:ascii="Palatino Linotype" w:eastAsia="Times New Roman" w:hAnsi="Palatino Linotype" w:cs="Tahoma"/>
          <w:lang w:eastAsia="x-none"/>
        </w:rPr>
        <w:t>.</w:t>
      </w:r>
    </w:p>
    <w:p w14:paraId="382208A9" w14:textId="27FB0BA5" w:rsidR="00261300" w:rsidRDefault="00A5231A" w:rsidP="00261300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Στο άρθρο 42 Ν.5028/2023 εισάγονται ρ</w:t>
      </w:r>
      <w:r w:rsidRPr="00A5231A">
        <w:rPr>
          <w:rFonts w:ascii="Palatino Linotype" w:eastAsia="Times New Roman" w:hAnsi="Palatino Linotype" w:cs="Tahoma"/>
          <w:lang w:eastAsia="x-none"/>
        </w:rPr>
        <w:t>υθμίσεις για τη βεβαίωση περί μη οφειλής Τέλους Ακίνητης Περιουσίας (Τ.Α.Π.) – Τροποποίηση περ. α’ παρ. 18 ά</w:t>
      </w:r>
      <w:r w:rsidRPr="00A5231A">
        <w:rPr>
          <w:rFonts w:ascii="Palatino Linotype" w:eastAsia="Times New Roman" w:hAnsi="Palatino Linotype" w:cs="Tahoma"/>
          <w:lang w:eastAsia="x-none"/>
        </w:rPr>
        <w:t>ρ</w:t>
      </w:r>
      <w:r w:rsidRPr="00A5231A">
        <w:rPr>
          <w:rFonts w:ascii="Palatino Linotype" w:eastAsia="Times New Roman" w:hAnsi="Palatino Linotype" w:cs="Tahoma"/>
          <w:lang w:eastAsia="x-none"/>
        </w:rPr>
        <w:t>θρου 24 ν. 2130/1993</w:t>
      </w:r>
      <w:r w:rsidR="00261300">
        <w:rPr>
          <w:rFonts w:ascii="Palatino Linotype" w:eastAsia="Times New Roman" w:hAnsi="Palatino Linotype" w:cs="Tahoma"/>
          <w:lang w:eastAsia="x-none"/>
        </w:rPr>
        <w:t xml:space="preserve"> </w:t>
      </w:r>
      <w:r>
        <w:rPr>
          <w:rFonts w:ascii="Palatino Linotype" w:eastAsia="Times New Roman" w:hAnsi="Palatino Linotype" w:cs="Tahoma"/>
          <w:lang w:eastAsia="x-none"/>
        </w:rPr>
        <w:t>ως εξής:</w:t>
      </w:r>
      <w:r w:rsidR="00261300">
        <w:rPr>
          <w:rFonts w:ascii="Palatino Linotype" w:eastAsia="Times New Roman" w:hAnsi="Palatino Linotype" w:cs="Tahoma"/>
          <w:lang w:eastAsia="x-none"/>
        </w:rPr>
        <w:t xml:space="preserve"> </w:t>
      </w:r>
    </w:p>
    <w:p w14:paraId="2FA0FBEA" w14:textId="77777777" w:rsidR="00A5231A" w:rsidRPr="00A5231A" w:rsidRDefault="00A5231A" w:rsidP="00A5231A">
      <w:pPr>
        <w:spacing w:before="120" w:after="120" w:line="360" w:lineRule="auto"/>
        <w:jc w:val="center"/>
        <w:rPr>
          <w:rFonts w:ascii="Palatino Linotype" w:eastAsia="Times New Roman" w:hAnsi="Palatino Linotype" w:cs="Tahoma"/>
          <w:b/>
          <w:bCs/>
          <w:lang w:eastAsia="x-none"/>
        </w:rPr>
      </w:pP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Άρθρο 42</w:t>
      </w:r>
    </w:p>
    <w:p w14:paraId="43F42FCA" w14:textId="5EA39114" w:rsidR="00A5231A" w:rsidRPr="00A5231A" w:rsidRDefault="00A5231A" w:rsidP="00A5231A">
      <w:pPr>
        <w:spacing w:before="120" w:after="120" w:line="360" w:lineRule="auto"/>
        <w:jc w:val="center"/>
        <w:rPr>
          <w:rFonts w:ascii="Palatino Linotype" w:eastAsia="Times New Roman" w:hAnsi="Palatino Linotype" w:cs="Tahoma"/>
          <w:b/>
          <w:bCs/>
          <w:lang w:eastAsia="x-none"/>
        </w:rPr>
      </w:pPr>
      <w:r w:rsidRPr="00A5231A">
        <w:rPr>
          <w:rFonts w:ascii="Palatino Linotype" w:eastAsia="Times New Roman" w:hAnsi="Palatino Linotype" w:cs="Tahoma"/>
          <w:b/>
          <w:bCs/>
          <w:lang w:eastAsia="x-none"/>
        </w:rPr>
        <w:t>Ρυθμίσεις για τη βεβαίωση περί μη οφειλής</w:t>
      </w:r>
      <w:r>
        <w:rPr>
          <w:rFonts w:ascii="Palatino Linotype" w:eastAsia="Times New Roman" w:hAnsi="Palatino Linotype" w:cs="Tahoma"/>
          <w:b/>
          <w:bCs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Τέλους Ακίνητης Περιουσίας (Τ.Α.Π.) -</w:t>
      </w:r>
      <w:r>
        <w:rPr>
          <w:rFonts w:ascii="Palatino Linotype" w:eastAsia="Times New Roman" w:hAnsi="Palatino Linotype" w:cs="Tahoma"/>
          <w:b/>
          <w:bCs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Τροποποίηση περ. α’ παρ. 18 άρθρου 24</w:t>
      </w:r>
      <w:r>
        <w:rPr>
          <w:rFonts w:ascii="Palatino Linotype" w:eastAsia="Times New Roman" w:hAnsi="Palatino Linotype" w:cs="Tahoma"/>
          <w:b/>
          <w:bCs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ν. 2130/1993</w:t>
      </w:r>
    </w:p>
    <w:p w14:paraId="7DF22BBC" w14:textId="29E10C47" w:rsidR="00A5231A" w:rsidRPr="00A5231A" w:rsidRDefault="00A5231A" w:rsidP="00A5231A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A5231A">
        <w:rPr>
          <w:rFonts w:ascii="Palatino Linotype" w:eastAsia="Times New Roman" w:hAnsi="Palatino Linotype" w:cs="Tahoma"/>
          <w:lang w:eastAsia="x-none"/>
        </w:rPr>
        <w:t>Στην περ.  α’ της παρ.  18 του άρθρου 24 του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lang w:eastAsia="x-none"/>
        </w:rPr>
        <w:t xml:space="preserve">ν. 2130/1993 (Α’ 62) επέρχονται οι </w:t>
      </w:r>
      <w:r w:rsidRPr="00A5231A">
        <w:rPr>
          <w:rFonts w:ascii="Palatino Linotype" w:eastAsia="Times New Roman" w:hAnsi="Palatino Linotype" w:cs="Tahoma"/>
          <w:lang w:eastAsia="x-none"/>
        </w:rPr>
        <w:t>ε</w:t>
      </w:r>
      <w:r w:rsidRPr="00A5231A">
        <w:rPr>
          <w:rFonts w:ascii="Palatino Linotype" w:eastAsia="Times New Roman" w:hAnsi="Palatino Linotype" w:cs="Tahoma"/>
          <w:lang w:eastAsia="x-none"/>
        </w:rPr>
        <w:t>ξής αλλαγές: α) στο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lang w:eastAsia="x-none"/>
        </w:rPr>
        <w:t>δεύτερο εδάφιο αα) προστίθεται η φράση «χορηγείται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lang w:eastAsia="x-none"/>
        </w:rPr>
        <w:t>κατ</w:t>
      </w:r>
      <w:r w:rsidRPr="00A5231A">
        <w:rPr>
          <w:rFonts w:ascii="Palatino Linotype" w:eastAsia="Times New Roman" w:hAnsi="Palatino Linotype" w:cs="Tahoma"/>
          <w:lang w:eastAsia="x-none"/>
        </w:rPr>
        <w:t>ό</w:t>
      </w:r>
      <w:r w:rsidRPr="00A5231A">
        <w:rPr>
          <w:rFonts w:ascii="Palatino Linotype" w:eastAsia="Times New Roman" w:hAnsi="Palatino Linotype" w:cs="Tahoma"/>
          <w:lang w:eastAsia="x-none"/>
        </w:rPr>
        <w:t xml:space="preserve">πιν αιτήσεως του ιδιοκτήτη ή», </w:t>
      </w:r>
      <w:proofErr w:type="spellStart"/>
      <w:r w:rsidRPr="00A5231A">
        <w:rPr>
          <w:rFonts w:ascii="Palatino Linotype" w:eastAsia="Times New Roman" w:hAnsi="Palatino Linotype" w:cs="Tahoma"/>
          <w:lang w:eastAsia="x-none"/>
        </w:rPr>
        <w:t>αβ</w:t>
      </w:r>
      <w:proofErr w:type="spellEnd"/>
      <w:r w:rsidRPr="00A5231A">
        <w:rPr>
          <w:rFonts w:ascii="Palatino Linotype" w:eastAsia="Times New Roman" w:hAnsi="Palatino Linotype" w:cs="Tahoma"/>
          <w:lang w:eastAsia="x-none"/>
        </w:rPr>
        <w:t>) οι λέξεις «για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lang w:eastAsia="x-none"/>
        </w:rPr>
        <w:t xml:space="preserve">ένα (1) έτος από την έκδοσή </w:t>
      </w:r>
      <w:r w:rsidRPr="00A5231A">
        <w:rPr>
          <w:rFonts w:ascii="Palatino Linotype" w:eastAsia="Times New Roman" w:hAnsi="Palatino Linotype" w:cs="Tahoma"/>
          <w:lang w:eastAsia="x-none"/>
        </w:rPr>
        <w:lastRenderedPageBreak/>
        <w:t>της» αντικαθίστανται από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lang w:eastAsia="x-none"/>
        </w:rPr>
        <w:t>τις λέξεις «μέχρι το τέλος του έτους έκδοσής της» και β)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lang w:eastAsia="x-none"/>
        </w:rPr>
        <w:t>προστίθενται τέταρτο και πέμπτο εδάφια και η περ. α’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5231A">
        <w:rPr>
          <w:rFonts w:ascii="Palatino Linotype" w:eastAsia="Times New Roman" w:hAnsi="Palatino Linotype" w:cs="Tahoma"/>
          <w:lang w:eastAsia="x-none"/>
        </w:rPr>
        <w:t>της παρ. 18 διαμορφ</w:t>
      </w:r>
      <w:r w:rsidRPr="00A5231A">
        <w:rPr>
          <w:rFonts w:ascii="Palatino Linotype" w:eastAsia="Times New Roman" w:hAnsi="Palatino Linotype" w:cs="Tahoma"/>
          <w:lang w:eastAsia="x-none"/>
        </w:rPr>
        <w:t>ώ</w:t>
      </w:r>
      <w:r w:rsidRPr="00A5231A">
        <w:rPr>
          <w:rFonts w:ascii="Palatino Linotype" w:eastAsia="Times New Roman" w:hAnsi="Palatino Linotype" w:cs="Tahoma"/>
          <w:lang w:eastAsia="x-none"/>
        </w:rPr>
        <w:t>νεται ως εξής:</w:t>
      </w:r>
    </w:p>
    <w:p w14:paraId="6C0D1516" w14:textId="3D44F78E" w:rsidR="00DA6D0C" w:rsidRDefault="00A5231A" w:rsidP="00274CC6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  <w:r w:rsidRPr="00A5231A">
        <w:rPr>
          <w:rFonts w:ascii="Palatino Linotype" w:eastAsia="Times New Roman" w:hAnsi="Palatino Linotype" w:cs="Tahoma"/>
          <w:b/>
          <w:bCs/>
          <w:lang w:eastAsia="x-none"/>
        </w:rPr>
        <w:t>«18.α. Σε περίπτωση μεταβίβασης της κυριότητας των πάσης φύσεως ακίν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η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των για οποιαδήποτε αιτία και προ της υπογραφής του συμβολαίου, απα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ι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τείται βεβαίωση περί μη οφειλής Τέλους Ακίνητης Περιουσίας (Τ.Α.Π.), ά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λ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λως η συμβολαιογραφική πράξη είναι άκυρη και δεν επάγεται οποιαδήποτε έννομη συνέπεια. Η βεβαίωση χορηγείται κατόπιν αιτήσεως του ιδιοκτήτη ή αναζητείται αυτεπάγγελτα από τον συμβολαιογράφο ή προσκομίζεται από τον μεταβιβάζοντα, εκδίδεται εντός πέντε (5) ημερών με βάση τα στοιχεία που τηρεί ηλεκτρονικά ο δήμος και ισχύει μέχρι το τέλος του έτους έκδοσής της. Η βεβαίωση που χορηγεί ο δήμος δύναται να είναι και ψηφιακή και να χρησιμοποιείται και για την ηλεκτρονική μεταβίβαση του ακινήτου. Ο δ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ή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μος ζητά ως δικαιολογητικά για τη χορήγηση της βεβαίωσης μόνον α) για την περίπτωση ηλεκτροδοτούμενου ακινήτου, φωτοτυπία τελευταίου λογ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α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ριασμού ρεύματος μαζί με το αποδεικτικό εξόφλησής του και Πιστοποιητ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ι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κό Πληρότητας Ταυτότητας Κτιρίου/Διηρημένης Ιδιοκτησίας, και β) για την περίπτωση μη ηλεκτροδοτούμενου ακινήτου, βεβαίωση διακοπής ηλεκτρ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ο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 xml:space="preserve">δότησης από τον Διαχειριστή Ελληνικού Δικτύου Διανομής Ηλεκτρικής 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Ε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νέργειας (ΔΕΔΔΗΕ), με ημερομηνία διακοπής, Πιστοποιητικό Πληρότητας Ταυτότητας Κτιρίου/Διηρημένης Ιδιοκτησίας και υπεύθυνη δήλωση του ιδ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ι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οκτήτη για τη μη χρήση του ακινήτου. Η βεβαίωση εκδίδεται για τα τετρ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α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γωνικά μέτρα που αναφέρονται στο Πιστοποιητικό Πληρότητας Ταυτότ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η</w:t>
      </w:r>
      <w:r w:rsidRPr="00A5231A">
        <w:rPr>
          <w:rFonts w:ascii="Palatino Linotype" w:eastAsia="Times New Roman" w:hAnsi="Palatino Linotype" w:cs="Tahoma"/>
          <w:b/>
          <w:bCs/>
          <w:lang w:eastAsia="x-none"/>
        </w:rPr>
        <w:t>τας Κτιρίου/Διηρημένης Ιδιοκτησίας.»</w:t>
      </w:r>
    </w:p>
    <w:p w14:paraId="19D9DF20" w14:textId="56518E9D" w:rsidR="00A5231A" w:rsidRDefault="00A5231A" w:rsidP="00A5231A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A5231A" w14:paraId="5C4BD18C" w14:textId="77777777" w:rsidTr="00A5231A">
        <w:tc>
          <w:tcPr>
            <w:tcW w:w="4151" w:type="dxa"/>
          </w:tcPr>
          <w:p w14:paraId="2A1768CD" w14:textId="5E34B03D" w:rsidR="00A5231A" w:rsidRDefault="00A5231A" w:rsidP="00A5231A">
            <w:pPr>
              <w:spacing w:before="120" w:after="120" w:line="360" w:lineRule="auto"/>
              <w:jc w:val="both"/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Προηγούμενη ρύθμιση</w:t>
            </w:r>
          </w:p>
        </w:tc>
        <w:tc>
          <w:tcPr>
            <w:tcW w:w="4151" w:type="dxa"/>
          </w:tcPr>
          <w:p w14:paraId="5F1C5092" w14:textId="48A4E834" w:rsidR="00A5231A" w:rsidRDefault="00A5231A" w:rsidP="00A5231A">
            <w:pPr>
              <w:spacing w:before="120" w:after="120" w:line="360" w:lineRule="auto"/>
              <w:jc w:val="both"/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Νέα ρύθμιση άρ.42 Ν.5028/2023</w:t>
            </w:r>
          </w:p>
        </w:tc>
      </w:tr>
      <w:tr w:rsidR="00A5231A" w14:paraId="4322DC0A" w14:textId="77777777" w:rsidTr="00A5231A">
        <w:tc>
          <w:tcPr>
            <w:tcW w:w="4151" w:type="dxa"/>
          </w:tcPr>
          <w:p w14:paraId="63B2BFE6" w14:textId="7A1077FA" w:rsidR="00A5231A" w:rsidRDefault="00274CC6" w:rsidP="00A5231A">
            <w:pPr>
              <w:spacing w:before="120" w:after="120" w:line="360" w:lineRule="auto"/>
              <w:jc w:val="both"/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</w:pP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18. α. Σε περίπτωση μεταβίβασης της κυριότητας των πάσης φύσεως ακίνητων για οποιαδήποτε αιτία και προ της υπογραφής του συμβ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λαίου, απαιτείται βεβαίωση περί μη 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lastRenderedPageBreak/>
              <w:t>οφειλής Τέλους Ακίνητης Περιο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υ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σίας (Τ.Α.Π.), άλλως η συμβολαι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γραφική πράξη είναι άκυρη και δεν επάγεται οποιαδήποτε έννομη σ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υ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νέπεια. Η βεβαίωση αναζητείται αυτεπάγγελτα από τον συμβολαι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γράφο ή προσκομίζεται από τον μ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ε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ταβιβάζοντα, εκδίδεται εντός πέντε (5) ημερών με βάση τα στοιχεία που τηρεί ηλεκτρονικά ο δήμος και 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ι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σχύει για ένα (1) έτος από την έκδ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σή της. Η βεβαίωση που χορηγεί ο δήμος δύναται να είναι και ψηφι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α</w:t>
            </w:r>
            <w:r w:rsidRPr="00274CC6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κή και να χρησιμοποιείται και για την ηλεκτρονική μεταβίβαση του ακινήτου.</w:t>
            </w:r>
          </w:p>
        </w:tc>
        <w:tc>
          <w:tcPr>
            <w:tcW w:w="4151" w:type="dxa"/>
          </w:tcPr>
          <w:p w14:paraId="5B78C4CD" w14:textId="7ED46B9B" w:rsidR="00A5231A" w:rsidRDefault="00A5231A" w:rsidP="00A5231A">
            <w:pPr>
              <w:spacing w:before="120" w:after="120" w:line="360" w:lineRule="auto"/>
              <w:jc w:val="both"/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</w:pP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lastRenderedPageBreak/>
              <w:t>«18.α. Σε περίπτωση μεταβίβασης της κυριότητας των πάσης φύσεως ακίνητων για οποιαδήποτε αιτία και προ της υπογραφής του συμβ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λαίου, απαιτείται βεβαίωση περί μη 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lastRenderedPageBreak/>
              <w:t>οφειλής Τέλους Ακίνητης Περιο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υ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σίας (Τ.Α.Π.), άλλως η συμβολαι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γραφική πράξη είναι άκυρη και δεν επάγεται οποιαδήποτε έννομη σ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υ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νέπεια. Η βεβαίωση χορηγείται κ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α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τόπιν αιτήσεως του ιδιοκτήτη ή αναζητείται αυτεπάγγελτα από τον συμβολαιογράφο ή προσκομίζεται από τον μεταβιβάζοντα, εκδίδεται εντός πέντε (5) ημερών με βάση τα στοιχεία που τηρεί ηλεκτρονικά ο δήμος και ισχύει μέχρι το τέλος του έτους έκδοσής της. Η βεβαίωση που χορηγεί ο δήμος δύναται να είναι και ψηφιακή και να χρησιμοποιε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ί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ται και για την ηλεκτρονική μετ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α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βίβαση του ακινήτου. Ο δήμος ζητά ως δικαιολογητικά για τη χορήγ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η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ση της βεβαίωσης μόνον α) για την περίπτωση ηλεκτροδοτούμενου 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α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κινήτου, φωτοτυπία τελευταίου λ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γαριασμού ρεύματος μαζί με το 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α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ποδεικτικό εξόφλησής του και Π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ι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στοποιητικό Πληρότητας Ταυτότ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η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τας Κτιρίου/Διηρημένης Ιδιοκτησ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ί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ας, και β) για την περίπτωση μη 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η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λεκτροδοτούμενου ακινήτου, β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ε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βαίωση διακοπής ηλεκτροδότησης από τον Διαχειριστή Ελληνικού Δ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ι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κτύου Διανομής Ηλεκτρικής Ενέ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ρ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γειας (ΔΕΔΔΗΕ), με ημερομηνία δ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ι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ακοπής, Πιστοποιητικό Πληρότ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η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lastRenderedPageBreak/>
              <w:t>τας Ταυτότητας Κτιρίου</w:t>
            </w:r>
            <w:r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 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/</w:t>
            </w:r>
            <w:r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 xml:space="preserve"> 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Διηρημ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έ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νης Ιδιοκτησίας και υπεύθυνη δ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ή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λωση του ιδιοκτήτη για τη μη χρ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ή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ση του ακινήτου. Η βεβαίωση εκδ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ί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δεται για τα τετραγωνικά μέτρα που αναφέρονται στο Πιστοποιητ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ι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κό Πληρότητας Ταυτότητας Κτιρ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ί</w:t>
            </w:r>
            <w:r w:rsidRPr="00A5231A">
              <w:rPr>
                <w:rFonts w:ascii="Palatino Linotype" w:eastAsia="Times New Roman" w:hAnsi="Palatino Linotype" w:cs="Tahoma"/>
                <w:b/>
                <w:bCs/>
                <w:lang w:eastAsia="x-none"/>
              </w:rPr>
              <w:t>ου/Διηρημένης Ιδιοκτησίας.»</w:t>
            </w:r>
          </w:p>
        </w:tc>
      </w:tr>
    </w:tbl>
    <w:p w14:paraId="11D8FB86" w14:textId="77777777" w:rsidR="00A5231A" w:rsidRPr="00A5231A" w:rsidRDefault="00A5231A" w:rsidP="00A5231A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</w:p>
    <w:p w14:paraId="647D851F" w14:textId="1E495FA3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1A898372" w14:textId="77777777" w:rsidR="00261300" w:rsidRDefault="00261300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503EF6A9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7F3A11">
      <w:pgSz w:w="11906" w:h="16838"/>
      <w:pgMar w:top="1247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1A13A" w14:textId="77777777" w:rsidR="00DF4E4F" w:rsidRDefault="00DF4E4F" w:rsidP="00654B3B">
      <w:pPr>
        <w:spacing w:after="0" w:line="240" w:lineRule="auto"/>
      </w:pPr>
      <w:r>
        <w:separator/>
      </w:r>
    </w:p>
  </w:endnote>
  <w:endnote w:type="continuationSeparator" w:id="0">
    <w:p w14:paraId="1292488F" w14:textId="77777777" w:rsidR="00DF4E4F" w:rsidRDefault="00DF4E4F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5B66A" w14:textId="77777777" w:rsidR="00DF4E4F" w:rsidRDefault="00DF4E4F" w:rsidP="00654B3B">
      <w:pPr>
        <w:spacing w:after="0" w:line="240" w:lineRule="auto"/>
      </w:pPr>
      <w:r>
        <w:separator/>
      </w:r>
    </w:p>
  </w:footnote>
  <w:footnote w:type="continuationSeparator" w:id="0">
    <w:p w14:paraId="41AD4E83" w14:textId="77777777" w:rsidR="00DF4E4F" w:rsidRDefault="00DF4E4F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62DA6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61300"/>
    <w:rsid w:val="00261ABA"/>
    <w:rsid w:val="00274CC6"/>
    <w:rsid w:val="002A3EF9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1DC2"/>
    <w:rsid w:val="00352D92"/>
    <w:rsid w:val="003538A0"/>
    <w:rsid w:val="00353C4B"/>
    <w:rsid w:val="00370648"/>
    <w:rsid w:val="00397AA4"/>
    <w:rsid w:val="003B25F7"/>
    <w:rsid w:val="004007B2"/>
    <w:rsid w:val="0041659F"/>
    <w:rsid w:val="00427717"/>
    <w:rsid w:val="00436F42"/>
    <w:rsid w:val="004419B0"/>
    <w:rsid w:val="00460D7D"/>
    <w:rsid w:val="004978B5"/>
    <w:rsid w:val="004A3061"/>
    <w:rsid w:val="004A52F9"/>
    <w:rsid w:val="004C28BD"/>
    <w:rsid w:val="004D5DFA"/>
    <w:rsid w:val="004E21AF"/>
    <w:rsid w:val="004E5658"/>
    <w:rsid w:val="005109E0"/>
    <w:rsid w:val="00527A72"/>
    <w:rsid w:val="005420FB"/>
    <w:rsid w:val="0054297F"/>
    <w:rsid w:val="00550252"/>
    <w:rsid w:val="00554F39"/>
    <w:rsid w:val="005576BF"/>
    <w:rsid w:val="00585A4B"/>
    <w:rsid w:val="005D67D9"/>
    <w:rsid w:val="005E1A16"/>
    <w:rsid w:val="005E63FA"/>
    <w:rsid w:val="005F1231"/>
    <w:rsid w:val="00607524"/>
    <w:rsid w:val="006161A4"/>
    <w:rsid w:val="0063438A"/>
    <w:rsid w:val="00634AE3"/>
    <w:rsid w:val="00636B0C"/>
    <w:rsid w:val="006461A3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F3A11"/>
    <w:rsid w:val="007F4D5E"/>
    <w:rsid w:val="00803C5F"/>
    <w:rsid w:val="0080648C"/>
    <w:rsid w:val="00823799"/>
    <w:rsid w:val="0082501F"/>
    <w:rsid w:val="008329ED"/>
    <w:rsid w:val="00882480"/>
    <w:rsid w:val="008877B6"/>
    <w:rsid w:val="008A59B7"/>
    <w:rsid w:val="008B122F"/>
    <w:rsid w:val="008B4734"/>
    <w:rsid w:val="008B4FF5"/>
    <w:rsid w:val="008D75B5"/>
    <w:rsid w:val="008E369C"/>
    <w:rsid w:val="008E4B61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B7AE5"/>
    <w:rsid w:val="009C23E9"/>
    <w:rsid w:val="009D1646"/>
    <w:rsid w:val="009E28CF"/>
    <w:rsid w:val="009E6225"/>
    <w:rsid w:val="009E660E"/>
    <w:rsid w:val="00A36284"/>
    <w:rsid w:val="00A5231A"/>
    <w:rsid w:val="00A53994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505CD"/>
    <w:rsid w:val="00B529AF"/>
    <w:rsid w:val="00B71CA8"/>
    <w:rsid w:val="00BA5083"/>
    <w:rsid w:val="00BC7007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A6D0C"/>
    <w:rsid w:val="00DC3A5A"/>
    <w:rsid w:val="00DC66BA"/>
    <w:rsid w:val="00DD7AD0"/>
    <w:rsid w:val="00DF4E4F"/>
    <w:rsid w:val="00E02326"/>
    <w:rsid w:val="00E1010F"/>
    <w:rsid w:val="00E117B4"/>
    <w:rsid w:val="00E124E3"/>
    <w:rsid w:val="00E15238"/>
    <w:rsid w:val="00E30847"/>
    <w:rsid w:val="00E359C6"/>
    <w:rsid w:val="00E37024"/>
    <w:rsid w:val="00E4409C"/>
    <w:rsid w:val="00E500CE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626C5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6130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A5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6130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A5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ABCA2-F25C-483E-BB18-6EDA5C1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2023-03-03T11:08:00Z</cp:lastPrinted>
  <dcterms:created xsi:type="dcterms:W3CDTF">2023-03-10T10:47:00Z</dcterms:created>
  <dcterms:modified xsi:type="dcterms:W3CDTF">2023-03-10T10:49:00Z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