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7733" w:rsidRPr="00087733" w:rsidRDefault="009A3166" w:rsidP="00087733">
      <w:pPr>
        <w:jc w:val="center"/>
        <w:rPr>
          <w:b/>
          <w:lang w:val="el-GR"/>
        </w:rPr>
      </w:pPr>
      <w:r>
        <w:rPr>
          <w:b/>
          <w:lang w:val="el-GR"/>
        </w:rPr>
        <w:t>ΠΩΣ ΔΙΑΜΟΡΦΩΝΟΝΤΑΙ ΟΙ</w:t>
      </w:r>
      <w:r w:rsidR="00087733" w:rsidRPr="00087733">
        <w:rPr>
          <w:b/>
          <w:lang w:val="el-GR"/>
        </w:rPr>
        <w:t xml:space="preserve"> ΚΑΤΩΤΑΤΕΣ ΑΣΦΑΛΙΣΤΙΚΕΣ ΕΙΣΦΟΡΕΣ (ΕΦΚΑ ΚΑΙ ΕΤΕΑΕΠ)</w:t>
      </w:r>
      <w:r w:rsidR="00534190">
        <w:rPr>
          <w:b/>
          <w:lang w:val="el-GR"/>
        </w:rPr>
        <w:t xml:space="preserve"> ΟΠΩΣ </w:t>
      </w:r>
      <w:r>
        <w:rPr>
          <w:b/>
          <w:lang w:val="el-GR"/>
        </w:rPr>
        <w:t>ΜΕΤΑ</w:t>
      </w:r>
      <w:r w:rsidR="00087733" w:rsidRPr="00087733">
        <w:rPr>
          <w:b/>
          <w:lang w:val="el-GR"/>
        </w:rPr>
        <w:t xml:space="preserve"> ΤΗΝ ΑΥΞΗΣΗ ΤΟΥ ΚΑΤΩΤΑΤΟΥ ΜΙΣΘΟΥ</w:t>
      </w:r>
    </w:p>
    <w:p w:rsidR="00087733" w:rsidRPr="00087733" w:rsidRDefault="00087733" w:rsidP="00087733">
      <w:pPr>
        <w:jc w:val="center"/>
        <w:rPr>
          <w:b/>
          <w:lang w:val="el-GR"/>
        </w:rPr>
      </w:pPr>
      <w:r w:rsidRPr="00087733">
        <w:rPr>
          <w:b/>
          <w:lang w:val="el-GR"/>
        </w:rPr>
        <w:t xml:space="preserve">Ανδρέα </w:t>
      </w:r>
      <w:proofErr w:type="spellStart"/>
      <w:r w:rsidRPr="00087733">
        <w:rPr>
          <w:b/>
          <w:lang w:val="el-GR"/>
        </w:rPr>
        <w:t>Κουτσόλαμπρου</w:t>
      </w:r>
      <w:proofErr w:type="spellEnd"/>
      <w:r w:rsidRPr="00087733">
        <w:rPr>
          <w:b/>
          <w:lang w:val="el-GR"/>
        </w:rPr>
        <w:t>, Δικηγόρου, Σύμβουλου ΔΣΑ, Προέδρου Ένωσης Εμμίσθων Δικηγόρων</w:t>
      </w:r>
      <w:r w:rsidR="009A3166">
        <w:rPr>
          <w:b/>
          <w:lang w:val="el-GR"/>
        </w:rPr>
        <w:t>, Νομικού Συνεργάτη ΣΣΕΑΠΑΔ</w:t>
      </w:r>
    </w:p>
    <w:p w:rsidR="00087733" w:rsidRDefault="00087733" w:rsidP="00087733">
      <w:pPr>
        <w:rPr>
          <w:lang w:val="el-GR"/>
        </w:rPr>
      </w:pPr>
    </w:p>
    <w:p w:rsidR="00046923" w:rsidRDefault="00664AC6" w:rsidP="00087733">
      <w:pPr>
        <w:jc w:val="both"/>
        <w:rPr>
          <w:lang w:val="el-GR"/>
        </w:rPr>
      </w:pPr>
      <w:r>
        <w:rPr>
          <w:lang w:val="el-GR"/>
        </w:rPr>
        <w:t xml:space="preserve">Όπως ήδη έχουμε αναλύσει (στο </w:t>
      </w:r>
      <w:proofErr w:type="spellStart"/>
      <w:r>
        <w:rPr>
          <w:lang w:val="el-GR"/>
        </w:rPr>
        <w:t>ιστολόγιο</w:t>
      </w:r>
      <w:proofErr w:type="spellEnd"/>
      <w:r>
        <w:rPr>
          <w:lang w:val="el-GR"/>
        </w:rPr>
        <w:t xml:space="preserve"> των εμμίσθων δικηγόρων) από την πρώτη ημέρα της ανακοίνωσης </w:t>
      </w:r>
      <w:r w:rsidR="002F5721">
        <w:rPr>
          <w:lang w:val="el-GR"/>
        </w:rPr>
        <w:t>της αύξησης του κατώτατου μισθού και ενόψει των ρυθμίσεων των άρθρων 39, 39</w:t>
      </w:r>
      <w:r w:rsidR="002F5721" w:rsidRPr="002F5721">
        <w:rPr>
          <w:vertAlign w:val="superscript"/>
          <w:lang w:val="el-GR"/>
        </w:rPr>
        <w:t>Α</w:t>
      </w:r>
      <w:r w:rsidR="002F5721">
        <w:rPr>
          <w:lang w:val="el-GR"/>
        </w:rPr>
        <w:t xml:space="preserve">, 35, 41 και 97 του </w:t>
      </w:r>
      <w:r w:rsidR="0012652B">
        <w:rPr>
          <w:lang w:val="el-GR"/>
        </w:rPr>
        <w:t>ν</w:t>
      </w:r>
      <w:r w:rsidR="002F5721">
        <w:rPr>
          <w:lang w:val="el-GR"/>
        </w:rPr>
        <w:t>.4387/2016, ως ισχύουν μετά τις τροποποιήσεις του ν.</w:t>
      </w:r>
      <w:r w:rsidR="0012652B">
        <w:rPr>
          <w:lang w:val="el-GR"/>
        </w:rPr>
        <w:t xml:space="preserve">4578/2018, αναμένονται άμεσα σημαντικά αυξήσεις στις κατώτατες εισφορές </w:t>
      </w:r>
      <w:r w:rsidR="00572496">
        <w:rPr>
          <w:lang w:val="el-GR"/>
        </w:rPr>
        <w:t xml:space="preserve">των συναδέλφων μας, αλλά και όλων των ελευθέρων επαγγελματιών και επιστημόνων. </w:t>
      </w:r>
      <w:proofErr w:type="spellStart"/>
      <w:r w:rsidR="00572496">
        <w:rPr>
          <w:lang w:val="el-GR"/>
        </w:rPr>
        <w:t>Σ’αυτές</w:t>
      </w:r>
      <w:proofErr w:type="spellEnd"/>
      <w:r w:rsidR="00572496">
        <w:rPr>
          <w:lang w:val="el-GR"/>
        </w:rPr>
        <w:t xml:space="preserve"> θα πρέπει να προστεθούν οι αναμενόμενες τρέχουσες και αναδρομικές εισφορές ΕΤΕΑΕΠ (επικουρικής και πρόνοιας), οπότε συνολικά οι συνάδελφοι </w:t>
      </w:r>
      <w:r w:rsidR="00572496" w:rsidRPr="00CC23FA">
        <w:rPr>
          <w:b/>
          <w:u w:val="single"/>
          <w:lang w:val="el-GR"/>
        </w:rPr>
        <w:t>θα κληθούν να καταβάλουν</w:t>
      </w:r>
      <w:r w:rsidR="00046923" w:rsidRPr="00CC23FA">
        <w:rPr>
          <w:b/>
          <w:u w:val="single"/>
          <w:lang w:val="el-GR"/>
        </w:rPr>
        <w:t>,</w:t>
      </w:r>
      <w:r w:rsidR="00572496" w:rsidRPr="00CC23FA">
        <w:rPr>
          <w:b/>
          <w:u w:val="single"/>
          <w:lang w:val="el-GR"/>
        </w:rPr>
        <w:t xml:space="preserve"> επιπλέον όσων κατέβαλαν</w:t>
      </w:r>
      <w:r w:rsidR="00572496">
        <w:rPr>
          <w:lang w:val="el-GR"/>
        </w:rPr>
        <w:t xml:space="preserve"> </w:t>
      </w:r>
    </w:p>
    <w:p w:rsidR="00616465" w:rsidRPr="00CC23FA" w:rsidRDefault="00046923" w:rsidP="00087733">
      <w:pPr>
        <w:jc w:val="both"/>
        <w:rPr>
          <w:b/>
          <w:lang w:val="el-GR"/>
        </w:rPr>
      </w:pPr>
      <w:r w:rsidRPr="00CC23FA">
        <w:rPr>
          <w:b/>
          <w:lang w:val="el-GR"/>
        </w:rPr>
        <w:t xml:space="preserve">131,65 ευρώ </w:t>
      </w:r>
      <w:r w:rsidR="00CC23FA">
        <w:rPr>
          <w:b/>
          <w:lang w:val="el-GR"/>
        </w:rPr>
        <w:t xml:space="preserve">μηνιαίως </w:t>
      </w:r>
      <w:r w:rsidR="00616465" w:rsidRPr="00CC23FA">
        <w:rPr>
          <w:b/>
          <w:lang w:val="el-GR"/>
        </w:rPr>
        <w:t xml:space="preserve">οι </w:t>
      </w:r>
      <w:r w:rsidR="001C3FE2">
        <w:rPr>
          <w:b/>
          <w:lang w:val="el-GR"/>
        </w:rPr>
        <w:t>Συμβολαιογράφοι</w:t>
      </w:r>
    </w:p>
    <w:p w:rsidR="00A42B94" w:rsidRDefault="00A42B94" w:rsidP="00087733">
      <w:pPr>
        <w:jc w:val="both"/>
        <w:rPr>
          <w:b/>
          <w:lang w:val="el-GR"/>
        </w:rPr>
      </w:pPr>
      <w:r>
        <w:rPr>
          <w:b/>
          <w:lang w:val="el-GR"/>
        </w:rPr>
        <w:t xml:space="preserve">81,04 ευρώ μηνιαίως οι </w:t>
      </w:r>
      <w:r w:rsidR="001C3FE2">
        <w:rPr>
          <w:b/>
          <w:lang w:val="el-GR"/>
        </w:rPr>
        <w:t>Συμβολαιογράφοι</w:t>
      </w:r>
      <w:r w:rsidR="008A36F5">
        <w:rPr>
          <w:b/>
          <w:lang w:val="el-GR"/>
        </w:rPr>
        <w:t xml:space="preserve"> </w:t>
      </w:r>
      <w:r>
        <w:rPr>
          <w:b/>
          <w:lang w:val="el-GR"/>
        </w:rPr>
        <w:t xml:space="preserve"> πρώτης πενταετίας</w:t>
      </w:r>
    </w:p>
    <w:p w:rsidR="00A42B94" w:rsidRPr="00CC23FA" w:rsidRDefault="008A36F5" w:rsidP="00087733">
      <w:pPr>
        <w:jc w:val="both"/>
        <w:rPr>
          <w:b/>
          <w:lang w:val="el-GR"/>
        </w:rPr>
      </w:pPr>
      <w:r>
        <w:rPr>
          <w:b/>
          <w:lang w:val="el-GR"/>
        </w:rPr>
        <w:t xml:space="preserve"> </w:t>
      </w:r>
      <w:r w:rsidR="00A42B94">
        <w:rPr>
          <w:b/>
          <w:lang w:val="el-GR"/>
        </w:rPr>
        <w:t>(</w:t>
      </w:r>
      <w:proofErr w:type="spellStart"/>
      <w:r w:rsidR="00A42B94">
        <w:rPr>
          <w:b/>
          <w:lang w:val="el-GR"/>
        </w:rPr>
        <w:t>ίδατε</w:t>
      </w:r>
      <w:proofErr w:type="spellEnd"/>
      <w:r w:rsidR="00A42B94">
        <w:rPr>
          <w:b/>
          <w:lang w:val="el-GR"/>
        </w:rPr>
        <w:t xml:space="preserve"> αναλύσεις πινάκων κατωτέρω)</w:t>
      </w:r>
    </w:p>
    <w:p w:rsidR="00CC23FA" w:rsidRPr="00DE7D7D" w:rsidRDefault="00CC23FA" w:rsidP="00087733">
      <w:pPr>
        <w:jc w:val="both"/>
        <w:rPr>
          <w:u w:val="single"/>
          <w:lang w:val="el-GR"/>
        </w:rPr>
      </w:pPr>
      <w:r w:rsidRPr="00DE7D7D">
        <w:rPr>
          <w:u w:val="single"/>
          <w:lang w:val="el-GR"/>
        </w:rPr>
        <w:t xml:space="preserve">Θα πρέπει να σημειωθεί, πως σύμφωνα με τα στοιχεία του </w:t>
      </w:r>
      <w:r w:rsidR="00DE7D7D" w:rsidRPr="00DE7D7D">
        <w:rPr>
          <w:u w:val="single"/>
          <w:lang w:val="el-GR"/>
        </w:rPr>
        <w:t>Υπουργείου κατώτατες εισφορές καταβάλλουν περίπου το 85% των ασφαλισμένων!</w:t>
      </w:r>
    </w:p>
    <w:p w:rsidR="00087733" w:rsidRPr="00087733" w:rsidRDefault="00CA2229" w:rsidP="00087733">
      <w:pPr>
        <w:jc w:val="both"/>
        <w:rPr>
          <w:lang w:val="el-GR"/>
        </w:rPr>
      </w:pPr>
      <w:r>
        <w:rPr>
          <w:lang w:val="el-GR"/>
        </w:rPr>
        <w:t>Ειδικότερα</w:t>
      </w:r>
      <w:r w:rsidR="000179E9">
        <w:rPr>
          <w:lang w:val="el-GR"/>
        </w:rPr>
        <w:t xml:space="preserve">, ως έγινε γνωστό, με </w:t>
      </w:r>
      <w:r w:rsidR="00087733" w:rsidRPr="00087733">
        <w:rPr>
          <w:lang w:val="el-GR"/>
        </w:rPr>
        <w:t xml:space="preserve">απόφαση του Υπουργικού Συμβουλίου </w:t>
      </w:r>
      <w:r w:rsidR="00087733" w:rsidRPr="000179E9">
        <w:rPr>
          <w:b/>
          <w:lang w:val="el-GR"/>
        </w:rPr>
        <w:t xml:space="preserve">αυξάνεται από 1.2.2019 ο κατώτατος μισθός  στα 650€ το μήνα, από τα 586,08€ (αύξηση 11%). </w:t>
      </w:r>
      <w:r w:rsidR="00087733" w:rsidRPr="00087733">
        <w:rPr>
          <w:lang w:val="el-GR"/>
        </w:rPr>
        <w:t>Η αύξηση αυτή συμπαρασύρει και τις κατώτατες εισφορές των ελευθέρων επαγγελματιών και αυτοαπασχολουμένων.</w:t>
      </w:r>
    </w:p>
    <w:p w:rsidR="00087733" w:rsidRPr="00087733" w:rsidRDefault="00071AB1" w:rsidP="00087733">
      <w:pPr>
        <w:jc w:val="both"/>
        <w:rPr>
          <w:lang w:val="el-GR"/>
        </w:rPr>
      </w:pPr>
      <w:r>
        <w:rPr>
          <w:lang w:val="el-GR"/>
        </w:rPr>
        <w:t xml:space="preserve">Σημειώνουμε πως </w:t>
      </w:r>
      <w:r w:rsidR="00087733" w:rsidRPr="00087733">
        <w:rPr>
          <w:lang w:val="el-GR"/>
        </w:rPr>
        <w:t>μέχρι 31.1.2019 οι εισφορές θα υπολογίζονται με την παλαιά κατώτατη βάση (586,08 ευρώ.)</w:t>
      </w:r>
      <w:r>
        <w:rPr>
          <w:lang w:val="el-GR"/>
        </w:rPr>
        <w:t>, ενώ από 1.2.2019 με βάση τα 650 ευρώ</w:t>
      </w:r>
      <w:r w:rsidR="00087733" w:rsidRPr="00087733">
        <w:rPr>
          <w:lang w:val="el-GR"/>
        </w:rPr>
        <w:t>.</w:t>
      </w:r>
    </w:p>
    <w:p w:rsidR="00087733" w:rsidRPr="00087733" w:rsidRDefault="00087733" w:rsidP="00087733">
      <w:pPr>
        <w:jc w:val="both"/>
        <w:rPr>
          <w:lang w:val="el-GR"/>
        </w:rPr>
      </w:pPr>
      <w:r w:rsidRPr="00087733">
        <w:rPr>
          <w:lang w:val="el-GR"/>
        </w:rPr>
        <w:t>Ας δούμε λοιπόν πως διαμορφώνονται οι κατώτατες  εισφορές από 1.2.2019, δηλαδή από το ειδοποιητήριο που θα αναρτηθεί εντός του Μαρτίου του 2019:</w:t>
      </w:r>
    </w:p>
    <w:p w:rsidR="00087733" w:rsidRDefault="00087733" w:rsidP="00087733">
      <w:pPr>
        <w:rPr>
          <w:lang w:val="el-GR"/>
        </w:rPr>
      </w:pPr>
      <w:r w:rsidRPr="00087733">
        <w:rPr>
          <w:lang w:val="el-GR"/>
        </w:rPr>
        <w:t>Α. ΑΣΦΑΛΙΣΜΕΝΟΙ ΑΝΩ ΤΗΣ ΠΕΝΤΑΕΤΙΑΣ – ΕΙΔΟΠΟΙΗΤΗΡΙΟ ΕΦΚΑ (ΚΥΡΙΑ ΑΣΦΑΛΙΣΗ – ΥΓΕΙΑ)</w:t>
      </w:r>
    </w:p>
    <w:tbl>
      <w:tblPr>
        <w:tblW w:w="8355" w:type="dxa"/>
        <w:shd w:val="clear" w:color="auto" w:fill="1D1D1D"/>
        <w:tblCellMar>
          <w:left w:w="0" w:type="dxa"/>
          <w:right w:w="0" w:type="dxa"/>
        </w:tblCellMar>
        <w:tblLook w:val="04A0"/>
      </w:tblPr>
      <w:tblGrid>
        <w:gridCol w:w="1555"/>
        <w:gridCol w:w="1853"/>
        <w:gridCol w:w="1440"/>
        <w:gridCol w:w="1079"/>
        <w:gridCol w:w="2428"/>
      </w:tblGrid>
      <w:tr w:rsidR="000B03CD" w:rsidRPr="000B03CD" w:rsidTr="00605B0B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center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  <w:lang w:val="el-GR"/>
              </w:rPr>
              <w:t>ΕΛΑΧΙΣΤΗ ΒΑΣΗ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center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ΚΥΡΙΑ </w:t>
            </w:r>
            <w:r w:rsidRPr="000B03CD">
              <w:rPr>
                <w:b/>
                <w:bCs/>
                <w:color w:val="FFFFFF" w:themeColor="background1"/>
                <w:lang w:val="el-GR"/>
              </w:rPr>
              <w:t>-20%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center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ΥΓΕΙΑ</w:t>
            </w:r>
            <w:r w:rsidRPr="000B03CD">
              <w:rPr>
                <w:b/>
                <w:bCs/>
                <w:color w:val="FFFFFF" w:themeColor="background1"/>
                <w:lang w:val="el-GR"/>
              </w:rPr>
              <w:t> 6,95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center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ΟΑΕΔ</w:t>
            </w:r>
          </w:p>
        </w:tc>
        <w:tc>
          <w:tcPr>
            <w:tcW w:w="2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center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ΣΥΝΟΛΟ</w:t>
            </w:r>
          </w:p>
        </w:tc>
      </w:tr>
      <w:tr w:rsidR="000B03CD" w:rsidRPr="000B03CD" w:rsidTr="00605B0B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087733">
            <w:pPr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2017-8 (586,08)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</w:rPr>
              <w:t>117,22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</w:rPr>
              <w:t>40,73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  <w:lang w:val="el-GR"/>
              </w:rPr>
              <w:t>167,95</w:t>
            </w:r>
          </w:p>
        </w:tc>
      </w:tr>
      <w:tr w:rsidR="000B03CD" w:rsidRPr="000B03CD" w:rsidTr="00605B0B">
        <w:trPr>
          <w:trHeight w:val="65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087733">
            <w:pPr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2019</w:t>
            </w:r>
          </w:p>
          <w:p w:rsidR="00087733" w:rsidRPr="000B03CD" w:rsidRDefault="00087733" w:rsidP="00087733">
            <w:pPr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(6</w:t>
            </w:r>
            <w:r w:rsidRPr="000B03CD">
              <w:rPr>
                <w:b/>
                <w:bCs/>
                <w:color w:val="FFFFFF" w:themeColor="background1"/>
                <w:lang w:val="el-GR"/>
              </w:rPr>
              <w:t>5</w:t>
            </w:r>
            <w:r w:rsidRPr="000B03CD">
              <w:rPr>
                <w:b/>
                <w:bCs/>
                <w:color w:val="FFFFFF" w:themeColor="background1"/>
              </w:rPr>
              <w:t>0)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  <w:lang w:val="el-GR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</w:rPr>
              <w:t>4</w:t>
            </w:r>
            <w:r w:rsidRPr="000B03CD">
              <w:rPr>
                <w:color w:val="FFFFFF" w:themeColor="background1"/>
                <w:lang w:val="el-GR"/>
              </w:rPr>
              <w:t>5</w:t>
            </w:r>
            <w:r w:rsidRPr="000B03CD">
              <w:rPr>
                <w:color w:val="FFFFFF" w:themeColor="background1"/>
              </w:rPr>
              <w:t>,</w:t>
            </w:r>
            <w:r w:rsidRPr="000B03CD">
              <w:rPr>
                <w:color w:val="FFFFFF" w:themeColor="background1"/>
                <w:lang w:val="el-GR"/>
              </w:rPr>
              <w:t>1</w:t>
            </w:r>
            <w:r w:rsidRPr="000B03CD">
              <w:rPr>
                <w:color w:val="FFFFFF" w:themeColor="background1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  <w:lang w:val="el-GR"/>
              </w:rPr>
              <w:t>185,17</w:t>
            </w:r>
          </w:p>
        </w:tc>
      </w:tr>
      <w:tr w:rsidR="000B03CD" w:rsidRPr="000B03CD" w:rsidTr="00605B0B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087733">
            <w:pPr>
              <w:rPr>
                <w:color w:val="FFFFFF" w:themeColor="background1"/>
              </w:rPr>
            </w:pPr>
            <w:r w:rsidRPr="000B03CD">
              <w:rPr>
                <w:color w:val="FFFFFF" w:themeColor="background1"/>
                <w:lang w:val="el-GR"/>
              </w:rPr>
              <w:t>ΑΥΞΗΣΗ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  <w:lang w:val="el-GR"/>
              </w:rPr>
              <w:t>+12</w:t>
            </w:r>
            <w:r w:rsidRPr="000B03CD">
              <w:rPr>
                <w:b/>
                <w:bCs/>
                <w:color w:val="FFFFFF" w:themeColor="background1"/>
              </w:rPr>
              <w:t>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  <w:lang w:val="el-GR"/>
              </w:rPr>
              <w:t>+4</w:t>
            </w:r>
            <w:r w:rsidRPr="000B03CD">
              <w:rPr>
                <w:b/>
                <w:bCs/>
                <w:color w:val="FFFFFF" w:themeColor="background1"/>
              </w:rPr>
              <w:t>,</w:t>
            </w:r>
            <w:r w:rsidRPr="000B03CD">
              <w:rPr>
                <w:b/>
                <w:bCs/>
                <w:color w:val="FFFFFF" w:themeColor="background1"/>
                <w:lang w:val="el-GR"/>
              </w:rPr>
              <w:t>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</w:rPr>
              <w:t>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0B03CD" w:rsidRDefault="00087733" w:rsidP="00CB38CF">
            <w:pPr>
              <w:jc w:val="right"/>
              <w:rPr>
                <w:color w:val="FFFFFF" w:themeColor="background1"/>
              </w:rPr>
            </w:pPr>
            <w:r w:rsidRPr="000B03CD">
              <w:rPr>
                <w:b/>
                <w:bCs/>
                <w:color w:val="FFFFFF" w:themeColor="background1"/>
                <w:lang w:val="el-GR"/>
              </w:rPr>
              <w:t>+17,22</w:t>
            </w:r>
          </w:p>
        </w:tc>
      </w:tr>
    </w:tbl>
    <w:p w:rsidR="00087733" w:rsidRPr="00087733" w:rsidRDefault="00087733" w:rsidP="00087733">
      <w:pPr>
        <w:rPr>
          <w:lang w:val="el-GR"/>
        </w:rPr>
      </w:pPr>
      <w:r w:rsidRPr="00087733">
        <w:rPr>
          <w:b/>
          <w:bCs/>
          <w:u w:val="single"/>
          <w:lang w:val="el-GR"/>
        </w:rPr>
        <w:t>Συμπερασματικά τ</w:t>
      </w:r>
      <w:r w:rsidRPr="00087733">
        <w:rPr>
          <w:b/>
          <w:bCs/>
          <w:lang w:val="el-GR"/>
        </w:rPr>
        <w:t>ο ειδοποιητήριο του ΕΦΚΑ θα περιλαμβάνει αυξήσεις για όλους τους ασφαλισμένους (ελευθέρους επαγγελματίες και αυτοαπασχολούμενους 17,22 ευρώ το μήνα)</w:t>
      </w:r>
    </w:p>
    <w:p w:rsidR="00087733" w:rsidRPr="00087733" w:rsidRDefault="00087733" w:rsidP="00087733">
      <w:pPr>
        <w:rPr>
          <w:lang w:val="el-GR"/>
        </w:rPr>
      </w:pPr>
    </w:p>
    <w:p w:rsidR="00087733" w:rsidRPr="00087733" w:rsidRDefault="00087733" w:rsidP="00087733">
      <w:pPr>
        <w:rPr>
          <w:lang w:val="el-GR"/>
        </w:rPr>
      </w:pPr>
      <w:r w:rsidRPr="00087733">
        <w:rPr>
          <w:lang w:val="el-GR"/>
        </w:rPr>
        <w:t>Β. ΑΣΦΑΛΙΣΜΕΝΟΙ ΑΝΩ ΤΗΣ ΠΕΝΤΑΕΤΙΑΣ – ΕΙΔΟΠΟΙΗΤΗΡΙΟ ΕΤΕΑΕΠ</w:t>
      </w:r>
    </w:p>
    <w:tbl>
      <w:tblPr>
        <w:tblW w:w="8355" w:type="dxa"/>
        <w:shd w:val="clear" w:color="auto" w:fill="1D1D1D"/>
        <w:tblCellMar>
          <w:left w:w="0" w:type="dxa"/>
          <w:right w:w="0" w:type="dxa"/>
        </w:tblCellMar>
        <w:tblLook w:val="04A0"/>
      </w:tblPr>
      <w:tblGrid>
        <w:gridCol w:w="2027"/>
        <w:gridCol w:w="1724"/>
        <w:gridCol w:w="2430"/>
        <w:gridCol w:w="2174"/>
      </w:tblGrid>
      <w:tr w:rsidR="00087733" w:rsidRPr="00087733" w:rsidTr="00605B0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center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lastRenderedPageBreak/>
              <w:t>ΕΛΑΧΙΣΤΗ ΒΑΣΗ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center"/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ΕΠΙΚΟΥΡΙΚΗ 7% (ΑΠΑΝΤΕΣ ΠΛΗΝ ΥΓΕΙΟΝΟΜΙΚΩΝ)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center"/>
              <w:rPr>
                <w:color w:val="FFFFFF" w:themeColor="background1"/>
                <w:lang w:val="el-GR"/>
              </w:rPr>
            </w:pPr>
            <w:r w:rsidRPr="00605B0B">
              <w:rPr>
                <w:color w:val="FFFFFF" w:themeColor="background1"/>
                <w:lang w:val="el-GR"/>
              </w:rPr>
              <w:t>ΠΡΟΝΟΙΑ 4% (ΔΙΚΗΓΟΡΟΙ ΑΘΗΝΩΝ, ΣΥΜΒ/ΦΟΙ, ΔΙΚ.ΕΠΙΜΕΛΗΤΕΣ, ΜΗΧΑΝΙΚΟΙ, ΥΓΕΙΟΝΟΜΙΚΟΙ)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center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</w:rPr>
              <w:t>ΣΥΝΟΛΟ</w:t>
            </w:r>
          </w:p>
        </w:tc>
      </w:tr>
      <w:tr w:rsidR="00087733" w:rsidRPr="00087733" w:rsidTr="00605B0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087733">
            <w:pPr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</w:rPr>
              <w:t>2017-8 (586,08)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41,02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23</w:t>
            </w:r>
            <w:r w:rsidRPr="00605B0B">
              <w:rPr>
                <w:color w:val="FFFFFF" w:themeColor="background1"/>
              </w:rPr>
              <w:t>,</w:t>
            </w:r>
            <w:r w:rsidRPr="00605B0B">
              <w:rPr>
                <w:color w:val="FFFFFF" w:themeColor="background1"/>
                <w:lang w:val="el-GR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64,46</w:t>
            </w:r>
          </w:p>
        </w:tc>
      </w:tr>
      <w:tr w:rsidR="00087733" w:rsidRPr="00087733" w:rsidTr="00605B0B">
        <w:trPr>
          <w:trHeight w:val="655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087733">
            <w:pPr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</w:rPr>
              <w:t>2019</w:t>
            </w:r>
            <w:r w:rsidRPr="00605B0B">
              <w:rPr>
                <w:b/>
                <w:bCs/>
                <w:color w:val="FFFFFF" w:themeColor="background1"/>
                <w:lang w:val="el-GR"/>
              </w:rPr>
              <w:t>  </w:t>
            </w:r>
            <w:r w:rsidRPr="00605B0B">
              <w:rPr>
                <w:b/>
                <w:bCs/>
                <w:color w:val="FFFFFF" w:themeColor="background1"/>
              </w:rPr>
              <w:t>(6</w:t>
            </w:r>
            <w:r w:rsidRPr="00605B0B">
              <w:rPr>
                <w:b/>
                <w:bCs/>
                <w:color w:val="FFFFFF" w:themeColor="background1"/>
                <w:lang w:val="el-GR"/>
              </w:rPr>
              <w:t>5</w:t>
            </w:r>
            <w:r w:rsidRPr="00605B0B">
              <w:rPr>
                <w:b/>
                <w:bCs/>
                <w:color w:val="FFFFFF" w:themeColor="background1"/>
              </w:rPr>
              <w:t>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45,50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26,00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71,50</w:t>
            </w:r>
          </w:p>
        </w:tc>
      </w:tr>
      <w:tr w:rsidR="00087733" w:rsidRPr="00087733" w:rsidTr="00605B0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087733">
            <w:pPr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ΑΥΞΗΣΗ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+4</w:t>
            </w:r>
            <w:r w:rsidRPr="00605B0B">
              <w:rPr>
                <w:b/>
                <w:bCs/>
                <w:color w:val="FFFFFF" w:themeColor="background1"/>
              </w:rPr>
              <w:t>,</w:t>
            </w:r>
            <w:r w:rsidRPr="00605B0B">
              <w:rPr>
                <w:b/>
                <w:bCs/>
                <w:color w:val="FFFFFF" w:themeColor="background1"/>
                <w:lang w:val="el-GR"/>
              </w:rPr>
              <w:t>4</w:t>
            </w:r>
            <w:r w:rsidRPr="00605B0B">
              <w:rPr>
                <w:b/>
                <w:bCs/>
                <w:color w:val="FFFFFF" w:themeColor="background1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+2</w:t>
            </w:r>
            <w:r w:rsidRPr="00605B0B">
              <w:rPr>
                <w:b/>
                <w:bCs/>
                <w:color w:val="FFFFFF" w:themeColor="background1"/>
              </w:rPr>
              <w:t>,</w:t>
            </w:r>
            <w:r w:rsidRPr="00605B0B">
              <w:rPr>
                <w:b/>
                <w:bCs/>
                <w:color w:val="FFFFFF" w:themeColor="background1"/>
                <w:lang w:val="el-GR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+7,04</w:t>
            </w:r>
          </w:p>
        </w:tc>
      </w:tr>
      <w:tr w:rsidR="00087733" w:rsidRPr="00087733" w:rsidTr="00605B0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087733">
            <w:pPr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ΑΝΑΔΡΟΜΙΚΑ (2017 -2018) ΕΠΊ 36 ΜΗΝΕΣ Ή ΑΠΟ ΕΙΔΟΠ.1</w:t>
            </w:r>
            <w:r w:rsidRPr="00605B0B">
              <w:rPr>
                <w:color w:val="FFFFFF" w:themeColor="background1"/>
                <w:vertAlign w:val="superscript"/>
                <w:lang w:val="el-GR"/>
              </w:rPr>
              <w:t>ου</w:t>
            </w:r>
            <w:r w:rsidRPr="00605B0B">
              <w:rPr>
                <w:color w:val="FFFFFF" w:themeColor="background1"/>
                <w:lang w:val="el-GR"/>
              </w:rPr>
              <w:t> 2019 ΕΩΣ ΕΙΔΟΠ. 12</w:t>
            </w:r>
            <w:r w:rsidRPr="00605B0B">
              <w:rPr>
                <w:color w:val="FFFFFF" w:themeColor="background1"/>
                <w:vertAlign w:val="superscript"/>
                <w:lang w:val="el-GR"/>
              </w:rPr>
              <w:t>ου</w:t>
            </w:r>
            <w:r w:rsidRPr="00605B0B">
              <w:rPr>
                <w:color w:val="FFFFFF" w:themeColor="background1"/>
                <w:lang w:val="el-GR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+ 27,35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+15,63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+42,98</w:t>
            </w:r>
          </w:p>
        </w:tc>
      </w:tr>
      <w:tr w:rsidR="00087733" w:rsidRPr="00087733" w:rsidTr="00605B0B"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087733">
            <w:pPr>
              <w:rPr>
                <w:color w:val="FFFFFF" w:themeColor="background1"/>
              </w:rPr>
            </w:pPr>
            <w:r w:rsidRPr="00605B0B">
              <w:rPr>
                <w:color w:val="FFFFFF" w:themeColor="background1"/>
                <w:lang w:val="el-GR"/>
              </w:rPr>
              <w:t>ΣΥΝΟΛΟ ΕΙΔΟΠΟΙΗΤΗΡΙΟΥ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(45,50+27,35)</w:t>
            </w: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72,80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(26+15,63)</w:t>
            </w: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41,63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</w:p>
          <w:p w:rsidR="00087733" w:rsidRPr="00605B0B" w:rsidRDefault="00087733" w:rsidP="00605B0B">
            <w:pPr>
              <w:jc w:val="right"/>
              <w:rPr>
                <w:color w:val="FFFFFF" w:themeColor="background1"/>
              </w:rPr>
            </w:pPr>
            <w:r w:rsidRPr="00605B0B">
              <w:rPr>
                <w:b/>
                <w:bCs/>
                <w:color w:val="FFFFFF" w:themeColor="background1"/>
                <w:lang w:val="el-GR"/>
              </w:rPr>
              <w:t>114,43</w:t>
            </w:r>
          </w:p>
        </w:tc>
      </w:tr>
    </w:tbl>
    <w:p w:rsidR="00087733" w:rsidRPr="00087733" w:rsidRDefault="00087733" w:rsidP="00087733">
      <w:pPr>
        <w:rPr>
          <w:lang w:val="el-GR"/>
        </w:rPr>
      </w:pPr>
      <w:r w:rsidRPr="00087733">
        <w:rPr>
          <w:u w:val="single"/>
          <w:lang w:val="el-GR"/>
        </w:rPr>
        <w:t>Συμπερασματικά</w:t>
      </w:r>
      <w:r w:rsidRPr="00087733">
        <w:rPr>
          <w:lang w:val="el-GR"/>
        </w:rPr>
        <w:t xml:space="preserve"> οι </w:t>
      </w:r>
      <w:r w:rsidR="001C3FE2">
        <w:rPr>
          <w:lang w:val="el-GR"/>
        </w:rPr>
        <w:t>Συμβολαιογράφοι</w:t>
      </w:r>
      <w:r w:rsidRPr="00087733">
        <w:rPr>
          <w:lang w:val="el-GR"/>
        </w:rPr>
        <w:t xml:space="preserve"> θα λάβουν ειδοποιητήριο ΕΤΕΑΕΠ 114,43 ευρώ το μήνα (τακτική εισφορά και αναδρομική).</w:t>
      </w:r>
    </w:p>
    <w:p w:rsidR="00087733" w:rsidRPr="00087733" w:rsidRDefault="00087733" w:rsidP="00087733">
      <w:pPr>
        <w:rPr>
          <w:lang w:val="el-GR"/>
        </w:rPr>
      </w:pPr>
    </w:p>
    <w:p w:rsidR="00087733" w:rsidRPr="00087733" w:rsidRDefault="00087733" w:rsidP="00087733">
      <w:pPr>
        <w:rPr>
          <w:lang w:val="el-GR"/>
        </w:rPr>
      </w:pPr>
      <w:r w:rsidRPr="00087733">
        <w:rPr>
          <w:b/>
          <w:bCs/>
          <w:lang w:val="el-GR"/>
        </w:rPr>
        <w:t>Γ. ΑΣΦΑΛΙΣΜΕΝΟΙ ΚΑΤΩ ΤΗΣ ΠΕΝΤΑΕΤΙΑΣ (ΆΡΘΡΟ 39</w:t>
      </w:r>
      <w:r w:rsidRPr="00087733">
        <w:rPr>
          <w:b/>
          <w:bCs/>
          <w:vertAlign w:val="superscript"/>
          <w:lang w:val="el-GR"/>
        </w:rPr>
        <w:t>Α</w:t>
      </w:r>
      <w:r w:rsidRPr="00087733">
        <w:rPr>
          <w:b/>
          <w:bCs/>
          <w:lang w:val="el-GR"/>
        </w:rPr>
        <w:t>΄Ν.4387/2016) ΕΙΔΟΠΟΙΗΤΗΡΙΟ ΕΦΚΑ</w:t>
      </w:r>
    </w:p>
    <w:tbl>
      <w:tblPr>
        <w:tblW w:w="8355" w:type="dxa"/>
        <w:shd w:val="clear" w:color="auto" w:fill="1D1D1D"/>
        <w:tblCellMar>
          <w:left w:w="0" w:type="dxa"/>
          <w:right w:w="0" w:type="dxa"/>
        </w:tblCellMar>
        <w:tblLook w:val="04A0"/>
      </w:tblPr>
      <w:tblGrid>
        <w:gridCol w:w="1699"/>
        <w:gridCol w:w="1979"/>
        <w:gridCol w:w="1350"/>
        <w:gridCol w:w="1259"/>
        <w:gridCol w:w="2068"/>
      </w:tblGrid>
      <w:tr w:rsidR="00087733" w:rsidRPr="00087733" w:rsidTr="00AC53A2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ΕΛΑΧΙΣΤΗ ΒΑΣΗ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t>ΚΥΡΙΑ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t>ΥΓΕΙΑ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t> 6,95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t>ΟΑΕΔ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t>ΣΥΝΟΛΟ</w:t>
            </w:r>
          </w:p>
        </w:tc>
      </w:tr>
      <w:tr w:rsidR="00087733" w:rsidRPr="00087733" w:rsidTr="00605B0B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t>2017-8 (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t>410,26</w:t>
            </w:r>
            <w:r w:rsidRPr="00AC53A2">
              <w:rPr>
                <w:b/>
                <w:bCs/>
                <w:color w:val="FFFFFF" w:themeColor="background1"/>
              </w:rPr>
              <w:t>)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Ή 586,08 Χ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57,44 (14%)*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69,74 (17%)**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28,51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28,51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t>10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95,55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108,25</w:t>
            </w:r>
          </w:p>
        </w:tc>
      </w:tr>
      <w:tr w:rsidR="00087733" w:rsidRPr="00087733" w:rsidTr="00AC53A2">
        <w:trPr>
          <w:trHeight w:val="65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2019</w:t>
            </w:r>
            <w:r w:rsidRPr="00AC53A2">
              <w:rPr>
                <w:b/>
                <w:bCs/>
                <w:color w:val="FFFFFF" w:themeColor="background1"/>
              </w:rPr>
              <w:t>(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t>455,00</w:t>
            </w:r>
            <w:r w:rsidRPr="00AC53A2">
              <w:rPr>
                <w:b/>
                <w:bCs/>
                <w:color w:val="FFFFFF" w:themeColor="background1"/>
              </w:rPr>
              <w:t>)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Ή 650 Χ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60,65 (13,33%)***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31,62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102,27</w:t>
            </w:r>
          </w:p>
        </w:tc>
      </w:tr>
    </w:tbl>
    <w:p w:rsidR="00087733" w:rsidRPr="00087733" w:rsidRDefault="00087733" w:rsidP="00087733">
      <w:r w:rsidRPr="00087733">
        <w:rPr>
          <w:lang w:val="el-GR"/>
        </w:rPr>
        <w:t>*Ασφαλισμένοι πρώτης διετίας</w:t>
      </w:r>
    </w:p>
    <w:p w:rsidR="00087733" w:rsidRPr="00087733" w:rsidRDefault="00087733" w:rsidP="00087733">
      <w:pPr>
        <w:rPr>
          <w:lang w:val="el-GR"/>
        </w:rPr>
      </w:pPr>
      <w:r w:rsidRPr="00087733">
        <w:rPr>
          <w:lang w:val="el-GR"/>
        </w:rPr>
        <w:t>**Ασφαλισμένοι 3-5 ετών</w:t>
      </w:r>
    </w:p>
    <w:p w:rsidR="00087733" w:rsidRPr="00087733" w:rsidRDefault="00087733" w:rsidP="00087733">
      <w:pPr>
        <w:rPr>
          <w:lang w:val="el-GR"/>
        </w:rPr>
      </w:pPr>
      <w:r w:rsidRPr="00087733">
        <w:rPr>
          <w:lang w:val="el-GR"/>
        </w:rPr>
        <w:t>***Άπαντες πρώτης πενταετίας</w:t>
      </w:r>
    </w:p>
    <w:p w:rsidR="00087733" w:rsidRPr="00087733" w:rsidRDefault="00087733" w:rsidP="00087733">
      <w:pPr>
        <w:rPr>
          <w:lang w:val="el-GR"/>
        </w:rPr>
      </w:pPr>
      <w:r w:rsidRPr="00087733">
        <w:rPr>
          <w:u w:val="single"/>
          <w:lang w:val="el-GR"/>
        </w:rPr>
        <w:t>Συμπέρασμα:</w:t>
      </w:r>
      <w:r w:rsidRPr="00087733">
        <w:rPr>
          <w:lang w:val="el-GR"/>
        </w:rPr>
        <w:t> Επιβαρύνονται 7 ευρώ περίπου οι ασφαλισμένοι πρώτης διετίας, ενώ ελαφρύνονται κατά 6 ευρώ οι ασφαλισμένοι 3-5 ετών.</w:t>
      </w:r>
    </w:p>
    <w:p w:rsidR="00E33029" w:rsidRDefault="00E33029" w:rsidP="00087733">
      <w:pPr>
        <w:rPr>
          <w:b/>
          <w:bCs/>
          <w:lang w:val="el-GR"/>
        </w:rPr>
      </w:pPr>
    </w:p>
    <w:p w:rsidR="008A36F5" w:rsidRDefault="008A36F5" w:rsidP="00087733">
      <w:pPr>
        <w:rPr>
          <w:b/>
          <w:bCs/>
          <w:lang w:val="el-GR"/>
        </w:rPr>
      </w:pPr>
    </w:p>
    <w:p w:rsidR="00E33029" w:rsidRDefault="00E33029" w:rsidP="00087733">
      <w:pPr>
        <w:rPr>
          <w:b/>
          <w:bCs/>
          <w:lang w:val="el-GR"/>
        </w:rPr>
      </w:pPr>
    </w:p>
    <w:p w:rsidR="00087733" w:rsidRPr="00087733" w:rsidRDefault="00087733" w:rsidP="00087733">
      <w:pPr>
        <w:rPr>
          <w:lang w:val="el-GR"/>
        </w:rPr>
      </w:pPr>
      <w:r w:rsidRPr="00087733">
        <w:rPr>
          <w:b/>
          <w:bCs/>
          <w:lang w:val="el-GR"/>
        </w:rPr>
        <w:t>Δ. ΑΣΦΑΛΙΣΜΕΝΟΙ ΚΑΤΩ ΠΕΝΤΑΕΤΙΑΣ ΕΙΔΟΠΟΙΗΤΗΡΙΟ ΕΤΕΑΕΠ</w:t>
      </w:r>
    </w:p>
    <w:tbl>
      <w:tblPr>
        <w:tblW w:w="8355" w:type="dxa"/>
        <w:shd w:val="clear" w:color="auto" w:fill="1D1D1D"/>
        <w:tblCellMar>
          <w:left w:w="0" w:type="dxa"/>
          <w:right w:w="0" w:type="dxa"/>
        </w:tblCellMar>
        <w:tblLook w:val="04A0"/>
      </w:tblPr>
      <w:tblGrid>
        <w:gridCol w:w="2027"/>
        <w:gridCol w:w="1764"/>
        <w:gridCol w:w="2419"/>
        <w:gridCol w:w="2145"/>
      </w:tblGrid>
      <w:tr w:rsidR="00087733" w:rsidRPr="00087733" w:rsidTr="00E3302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center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ΕΛΑΧΙΣΤΗ ΒΑΣΗ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center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 xml:space="preserve">ΕΠΙΚΟΥΡΙΚΗ 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lastRenderedPageBreak/>
              <w:t>7% (ΑΠΑΝΤΕΣ ΠΛΗΝ ΥΓΕΙΟΝΟΜΙΚΩΝ)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center"/>
              <w:rPr>
                <w:color w:val="FFFFFF" w:themeColor="background1"/>
                <w:lang w:val="el-GR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lastRenderedPageBreak/>
              <w:t xml:space="preserve">ΠΡΟΝΟΙΑ 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lastRenderedPageBreak/>
              <w:t>4% (ΔΙΚΗΓΟΡΟΙ ΑΘΗΝΩΝ, ΣΥΜΒ/ΦΟΙ, ΔΙΚ.ΕΠΙΜΕΛΗΤΕΣ, ΜΗΧΑΝΙΚΟΙ, ΥΓΕΙΟΝΟΜΙΚΟΙ)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center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lastRenderedPageBreak/>
              <w:t>ΣΥΝΟΛΟ</w:t>
            </w:r>
          </w:p>
        </w:tc>
      </w:tr>
      <w:tr w:rsidR="00087733" w:rsidRPr="00087733" w:rsidTr="00E3302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</w:rPr>
              <w:lastRenderedPageBreak/>
              <w:t>2017-8 (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t>410,26</w:t>
            </w:r>
            <w:r w:rsidRPr="00AC53A2">
              <w:rPr>
                <w:b/>
                <w:bCs/>
                <w:color w:val="FFFFFF" w:themeColor="background1"/>
              </w:rPr>
              <w:t>)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Ή 586,08 Χ 70%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28,71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16,41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45,12</w:t>
            </w:r>
          </w:p>
        </w:tc>
      </w:tr>
      <w:tr w:rsidR="00087733" w:rsidRPr="00087733" w:rsidTr="00E33029">
        <w:trPr>
          <w:trHeight w:val="655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2019 (455,00)</w:t>
            </w:r>
          </w:p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Ή 650 Χ 70%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31,85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18,20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50,05</w:t>
            </w:r>
          </w:p>
        </w:tc>
      </w:tr>
      <w:tr w:rsidR="00087733" w:rsidRPr="00087733" w:rsidTr="00E3302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ΑΥΞΗΣΗ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+3</w:t>
            </w:r>
            <w:r w:rsidRPr="00AC53A2">
              <w:rPr>
                <w:b/>
                <w:bCs/>
                <w:color w:val="FFFFFF" w:themeColor="background1"/>
              </w:rPr>
              <w:t>,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+1,79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+4,93</w:t>
            </w:r>
          </w:p>
        </w:tc>
      </w:tr>
      <w:tr w:rsidR="00087733" w:rsidRPr="00087733" w:rsidTr="00E3302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ΑΝΑΔΡΟΜΙΚΑ (2017 -2018) ΕΠΊ 36 ΜΗΝΕΣ Ή ΑΠΟ ΕΙΔΟΠ.1</w:t>
            </w:r>
            <w:r w:rsidRPr="00AC53A2">
              <w:rPr>
                <w:b/>
                <w:bCs/>
                <w:color w:val="FFFFFF" w:themeColor="background1"/>
                <w:vertAlign w:val="superscript"/>
                <w:lang w:val="el-GR"/>
              </w:rPr>
              <w:t>ου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t>2019 ΕΩΣ ΕΙΔΟΠ. 12</w:t>
            </w:r>
            <w:r w:rsidRPr="00AC53A2">
              <w:rPr>
                <w:b/>
                <w:bCs/>
                <w:color w:val="FFFFFF" w:themeColor="background1"/>
                <w:vertAlign w:val="superscript"/>
                <w:lang w:val="el-GR"/>
              </w:rPr>
              <w:t>ου</w:t>
            </w:r>
            <w:r w:rsidRPr="00AC53A2">
              <w:rPr>
                <w:b/>
                <w:bCs/>
                <w:color w:val="FFFFFF" w:themeColor="background1"/>
                <w:lang w:val="el-GR"/>
              </w:rPr>
              <w:t> 2021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+ 19,15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+10,94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+30,09</w:t>
            </w:r>
          </w:p>
        </w:tc>
      </w:tr>
      <w:tr w:rsidR="00087733" w:rsidRPr="00087733" w:rsidTr="00E3302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087733">
            <w:pPr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ΣΥΝΟΛΟ ΕΙΔΟΠΟΙΗΤΗΡΙΟΥ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(31,85+19,15)</w:t>
            </w: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51,00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(26+15,63)</w:t>
            </w: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29,14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</w:p>
          <w:p w:rsidR="00087733" w:rsidRPr="00AC53A2" w:rsidRDefault="00087733" w:rsidP="00AC53A2">
            <w:pPr>
              <w:jc w:val="right"/>
              <w:rPr>
                <w:color w:val="FFFFFF" w:themeColor="background1"/>
              </w:rPr>
            </w:pPr>
            <w:r w:rsidRPr="00AC53A2">
              <w:rPr>
                <w:b/>
                <w:bCs/>
                <w:color w:val="FFFFFF" w:themeColor="background1"/>
                <w:lang w:val="el-GR"/>
              </w:rPr>
              <w:t>80,14</w:t>
            </w:r>
          </w:p>
        </w:tc>
      </w:tr>
    </w:tbl>
    <w:p w:rsidR="00087733" w:rsidRPr="00087733" w:rsidRDefault="00087733" w:rsidP="00087733"/>
    <w:p w:rsidR="00087733" w:rsidRDefault="00087733" w:rsidP="00087733">
      <w:pPr>
        <w:jc w:val="both"/>
        <w:rPr>
          <w:lang w:val="el-GR"/>
        </w:rPr>
      </w:pPr>
      <w:r w:rsidRPr="00087733">
        <w:rPr>
          <w:u w:val="single"/>
          <w:lang w:val="el-GR"/>
        </w:rPr>
        <w:t>Συμπερασματικά </w:t>
      </w:r>
      <w:r w:rsidRPr="00087733">
        <w:rPr>
          <w:lang w:val="el-GR"/>
        </w:rPr>
        <w:t xml:space="preserve">οι </w:t>
      </w:r>
      <w:r w:rsidR="00BE0996">
        <w:rPr>
          <w:lang w:val="el-GR"/>
        </w:rPr>
        <w:t xml:space="preserve">Συμβολαιογράφοι </w:t>
      </w:r>
      <w:r w:rsidRPr="00087733">
        <w:rPr>
          <w:lang w:val="el-GR"/>
        </w:rPr>
        <w:t>(πενταετίας) θα λάβουν ειδοποιητήριο ΕΤΕΑΕΠ 80,14 ευρώ.</w:t>
      </w:r>
      <w:r w:rsidRPr="00087733">
        <w:rPr>
          <w:lang w:val="el-GR"/>
        </w:rPr>
        <w:br/>
      </w:r>
      <w:r w:rsidRPr="00087733">
        <w:rPr>
          <w:b/>
          <w:bCs/>
          <w:u w:val="single"/>
          <w:lang w:val="el-GR"/>
        </w:rPr>
        <w:t>ΣΗΜΕΙΩΣΗ:</w:t>
      </w:r>
      <w:r w:rsidRPr="00087733">
        <w:rPr>
          <w:b/>
          <w:bCs/>
          <w:u w:val="single"/>
        </w:rPr>
        <w:t> </w:t>
      </w:r>
      <w:r w:rsidRPr="00087733">
        <w:rPr>
          <w:lang w:val="el-GR"/>
        </w:rPr>
        <w:t>Θυμίζουμε πως η έκπτωση αυτή της πρώτης πενταετίας αποτελεί ασφαλιστική οφειλή για τον ΝΈΟ ασφαλισμένο που</w:t>
      </w:r>
      <w:r w:rsidRPr="00087733">
        <w:t>  </w:t>
      </w:r>
      <w:r w:rsidRPr="00087733">
        <w:rPr>
          <w:lang w:val="el-GR"/>
        </w:rPr>
        <w:t>εξοφλείται</w:t>
      </w:r>
      <w:r>
        <w:rPr>
          <w:lang w:val="el-GR"/>
        </w:rPr>
        <w:t xml:space="preserve"> </w:t>
      </w:r>
      <w:r w:rsidRPr="00087733">
        <w:rPr>
          <w:lang w:val="el-GR"/>
        </w:rPr>
        <w:t>εξ ολοκλήρου μέχρι και τη συμπλήρωση δεκαπέντε (15)</w:t>
      </w:r>
      <w:r w:rsidRPr="00087733">
        <w:rPr>
          <w:lang w:val="el-GR"/>
        </w:rPr>
        <w:br/>
        <w:t>ετών ασφάλισης (παρ. 3 άρθρου 39Α ν.4387/16) .</w:t>
      </w:r>
    </w:p>
    <w:p w:rsidR="00BC0249" w:rsidRDefault="009A3166" w:rsidP="00087733">
      <w:pPr>
        <w:jc w:val="both"/>
        <w:rPr>
          <w:b/>
          <w:lang w:val="el-GR"/>
        </w:rPr>
      </w:pPr>
      <w:r>
        <w:rPr>
          <w:b/>
          <w:lang w:val="el-GR"/>
        </w:rPr>
        <w:t xml:space="preserve">Θεωρώ πως </w:t>
      </w:r>
      <w:r w:rsidR="00BC0249">
        <w:rPr>
          <w:b/>
          <w:lang w:val="el-GR"/>
        </w:rPr>
        <w:t>οι επιστημονικοί σύλλογοι πρέπει άμεσα να ζητήσουν:</w:t>
      </w:r>
    </w:p>
    <w:p w:rsidR="00871046" w:rsidRPr="00E33029" w:rsidRDefault="00E5293F" w:rsidP="00087733">
      <w:pPr>
        <w:jc w:val="both"/>
        <w:rPr>
          <w:b/>
          <w:lang w:val="el-GR"/>
        </w:rPr>
      </w:pPr>
      <w:r w:rsidRPr="00E33029">
        <w:rPr>
          <w:b/>
          <w:lang w:val="el-GR"/>
        </w:rPr>
        <w:t xml:space="preserve">Την άμεση αποσύνδεση </w:t>
      </w:r>
      <w:r w:rsidR="00871046" w:rsidRPr="00E33029">
        <w:rPr>
          <w:b/>
          <w:lang w:val="el-GR"/>
        </w:rPr>
        <w:t>των ασφαλιστικών εισφορών από την αύξηση του κατώτατου μισθού, και για όσο χρόνο διαρκεί η οικονομική κρίση</w:t>
      </w:r>
      <w:r w:rsidR="00817AEC">
        <w:rPr>
          <w:b/>
          <w:lang w:val="el-GR"/>
        </w:rPr>
        <w:t>, και σίγουρα μέχρι και το 2021</w:t>
      </w:r>
      <w:r w:rsidR="00871046" w:rsidRPr="00E33029">
        <w:rPr>
          <w:b/>
          <w:lang w:val="el-GR"/>
        </w:rPr>
        <w:t>.</w:t>
      </w:r>
    </w:p>
    <w:p w:rsidR="00E33029" w:rsidRDefault="00871046" w:rsidP="00087733">
      <w:pPr>
        <w:jc w:val="both"/>
        <w:rPr>
          <w:b/>
          <w:lang w:val="el-GR"/>
        </w:rPr>
      </w:pPr>
      <w:r w:rsidRPr="00E33029">
        <w:rPr>
          <w:b/>
          <w:lang w:val="el-GR"/>
        </w:rPr>
        <w:t xml:space="preserve">Την αύξηση των δόσεων επιβολής των αναδρομικών εισφορών </w:t>
      </w:r>
      <w:r w:rsidR="000B0004" w:rsidRPr="00E33029">
        <w:rPr>
          <w:b/>
          <w:lang w:val="el-GR"/>
        </w:rPr>
        <w:t>ΕΤΕΑΕΠ από 36 σε 72, ώστε να μην δημιουργηθεί περαιτέρω πρόβλημα στους συναδέλφους</w:t>
      </w:r>
      <w:r w:rsidR="00E33029" w:rsidRPr="00E33029">
        <w:rPr>
          <w:b/>
          <w:lang w:val="el-GR"/>
        </w:rPr>
        <w:t>, δοθέντος ότι η καθυστέρηση οφείλεται αποκλειστικά στις αδυναμίες της Πολιτείας.</w:t>
      </w:r>
    </w:p>
    <w:p w:rsidR="00E33029" w:rsidRDefault="00E33029" w:rsidP="00087733">
      <w:pPr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bookmarkStart w:id="0" w:name="_GoBack"/>
      <w:bookmarkEnd w:id="0"/>
    </w:p>
    <w:p w:rsidR="00E33029" w:rsidRDefault="00E33029" w:rsidP="00087733">
      <w:pPr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    Ανδρέας </w:t>
      </w:r>
      <w:proofErr w:type="spellStart"/>
      <w:r>
        <w:rPr>
          <w:b/>
          <w:lang w:val="el-GR"/>
        </w:rPr>
        <w:t>Κουτσόλαμπρος</w:t>
      </w:r>
      <w:proofErr w:type="spellEnd"/>
    </w:p>
    <w:p w:rsidR="00E33029" w:rsidRPr="00E33029" w:rsidRDefault="00E33029" w:rsidP="00087733">
      <w:pPr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               Δικηγόρος</w:t>
      </w:r>
    </w:p>
    <w:sectPr w:rsidR="00E33029" w:rsidRPr="00E33029" w:rsidSect="00E33029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87733"/>
    <w:rsid w:val="000179E9"/>
    <w:rsid w:val="000411C8"/>
    <w:rsid w:val="00046923"/>
    <w:rsid w:val="0005653D"/>
    <w:rsid w:val="00071AB1"/>
    <w:rsid w:val="00087733"/>
    <w:rsid w:val="000B0004"/>
    <w:rsid w:val="000B03CD"/>
    <w:rsid w:val="0012652B"/>
    <w:rsid w:val="001C3FE2"/>
    <w:rsid w:val="00222EC9"/>
    <w:rsid w:val="002F419C"/>
    <w:rsid w:val="002F5721"/>
    <w:rsid w:val="003F5F3E"/>
    <w:rsid w:val="00534190"/>
    <w:rsid w:val="00572496"/>
    <w:rsid w:val="00605B0B"/>
    <w:rsid w:val="00616465"/>
    <w:rsid w:val="00664AC6"/>
    <w:rsid w:val="007A6B2F"/>
    <w:rsid w:val="007A7867"/>
    <w:rsid w:val="007D68E6"/>
    <w:rsid w:val="00817AEC"/>
    <w:rsid w:val="00841FCF"/>
    <w:rsid w:val="00871046"/>
    <w:rsid w:val="008A36F5"/>
    <w:rsid w:val="00931C86"/>
    <w:rsid w:val="00954242"/>
    <w:rsid w:val="009A3166"/>
    <w:rsid w:val="00A42B94"/>
    <w:rsid w:val="00A53D19"/>
    <w:rsid w:val="00AB459B"/>
    <w:rsid w:val="00AC53A2"/>
    <w:rsid w:val="00BC0249"/>
    <w:rsid w:val="00BE0996"/>
    <w:rsid w:val="00CA2229"/>
    <w:rsid w:val="00CB38CF"/>
    <w:rsid w:val="00CC23FA"/>
    <w:rsid w:val="00D17949"/>
    <w:rsid w:val="00DE7D7D"/>
    <w:rsid w:val="00E33029"/>
    <w:rsid w:val="00E5293F"/>
    <w:rsid w:val="00E8178D"/>
    <w:rsid w:val="00F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7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77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Koutsolampros</dc:creator>
  <cp:lastModifiedBy>teo</cp:lastModifiedBy>
  <cp:revision>2</cp:revision>
  <dcterms:created xsi:type="dcterms:W3CDTF">2019-01-30T10:45:00Z</dcterms:created>
  <dcterms:modified xsi:type="dcterms:W3CDTF">2019-01-30T10:45:00Z</dcterms:modified>
</cp:coreProperties>
</file>