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9DADA" w14:textId="77777777" w:rsidR="00486A9B" w:rsidRPr="00486A9B" w:rsidRDefault="00486A9B" w:rsidP="00486A9B">
      <w:pPr>
        <w:jc w:val="center"/>
        <w:rPr>
          <w:b/>
          <w:lang w:val="el-GR"/>
        </w:rPr>
      </w:pPr>
      <w:r w:rsidRPr="00486A9B">
        <w:rPr>
          <w:b/>
          <w:lang w:val="el-GR"/>
        </w:rPr>
        <w:t>Οι νέες εισφορές του ΕΤΕΑΕΠ και οι Συμβολαιογράφοι</w:t>
      </w:r>
    </w:p>
    <w:p w14:paraId="31BD995D" w14:textId="77777777" w:rsidR="00486A9B" w:rsidRPr="00486A9B" w:rsidRDefault="00486A9B" w:rsidP="00486A9B">
      <w:pPr>
        <w:jc w:val="center"/>
        <w:rPr>
          <w:b/>
          <w:lang w:val="el-GR"/>
        </w:rPr>
      </w:pPr>
      <w:r w:rsidRPr="00486A9B">
        <w:rPr>
          <w:b/>
          <w:lang w:val="el-GR"/>
        </w:rPr>
        <w:t xml:space="preserve">Ανδρέα </w:t>
      </w:r>
      <w:proofErr w:type="spellStart"/>
      <w:r w:rsidRPr="00486A9B">
        <w:rPr>
          <w:b/>
          <w:lang w:val="el-GR"/>
        </w:rPr>
        <w:t>Π.Κουτσόλαμπρου</w:t>
      </w:r>
      <w:proofErr w:type="spellEnd"/>
      <w:r w:rsidRPr="00486A9B">
        <w:rPr>
          <w:b/>
          <w:lang w:val="el-GR"/>
        </w:rPr>
        <w:t xml:space="preserve">, Δικηγόρου, Προέδρου Ε.Ε.Δ., Συμβούλου ΔΣΑ, Προϊσταμένου </w:t>
      </w:r>
      <w:proofErr w:type="spellStart"/>
      <w:r w:rsidRPr="00486A9B">
        <w:rPr>
          <w:b/>
          <w:lang w:val="el-GR"/>
        </w:rPr>
        <w:t>Τμ.Μη</w:t>
      </w:r>
      <w:proofErr w:type="spellEnd"/>
      <w:r w:rsidRPr="00486A9B">
        <w:rPr>
          <w:b/>
          <w:lang w:val="el-GR"/>
        </w:rPr>
        <w:t xml:space="preserve"> Μισθωτών ΔΝΥ ΕΦΚΑ, Συνεργάτη Σ.Σ.Ε.Α.Π.Α.Δ.</w:t>
      </w:r>
    </w:p>
    <w:p w14:paraId="51B15927" w14:textId="77777777" w:rsidR="00486A9B" w:rsidRPr="00486A9B" w:rsidRDefault="00486A9B" w:rsidP="00486A9B">
      <w:pPr>
        <w:rPr>
          <w:lang w:val="el-GR"/>
        </w:rPr>
      </w:pPr>
      <w:r>
        <w:rPr>
          <w:lang w:val="el-GR"/>
        </w:rPr>
        <w:t>Το Σαββατοκύριακο που μας πέρασε,</w:t>
      </w:r>
      <w:r w:rsidRPr="00486A9B">
        <w:rPr>
          <w:lang w:val="el-GR"/>
        </w:rPr>
        <w:t xml:space="preserve"> ξεκίνησε η εφαρμογή εισφορών μη μισθωτών του ΕΤΕΑΕΠ, με καθυστέρηση 27 μηνών από τότε που θα έπρεπε να ξεκινήσει με βάση τις διατάξεις του Ν.4387/2016. Πρώτιστο μέλημά μας είναι με απλό τρόπο να εξηγήσουμε στους </w:t>
      </w:r>
      <w:r>
        <w:rPr>
          <w:lang w:val="el-GR"/>
        </w:rPr>
        <w:t>Συμβολαιογράφους</w:t>
      </w:r>
      <w:r w:rsidRPr="00486A9B">
        <w:rPr>
          <w:lang w:val="el-GR"/>
        </w:rPr>
        <w:t xml:space="preserve"> τι συμβαίνει, κάτι που όφειλε η Πολιτεία να έχει πράξει.</w:t>
      </w:r>
      <w:r>
        <w:rPr>
          <w:lang w:val="el-GR"/>
        </w:rPr>
        <w:t xml:space="preserve"> Πραγματικά από την ιστοσελίδα του ΕΤΕΑΕΠ και του Υπουργείου προκύπτει έλλειψη εγκυκλίων και οδηγιών, ενώ δεν υπάρχει καν επιλογή πληρωμής στα </w:t>
      </w:r>
      <w:r>
        <w:t>internet</w:t>
      </w:r>
      <w:r w:rsidRPr="00486A9B">
        <w:rPr>
          <w:lang w:val="el-GR"/>
        </w:rPr>
        <w:t xml:space="preserve"> </w:t>
      </w:r>
      <w:r>
        <w:t>banking</w:t>
      </w:r>
      <w:r w:rsidRPr="00486A9B">
        <w:rPr>
          <w:lang w:val="el-GR"/>
        </w:rPr>
        <w:t xml:space="preserve"> </w:t>
      </w:r>
      <w:r>
        <w:rPr>
          <w:lang w:val="el-GR"/>
        </w:rPr>
        <w:t>των Τραπεζών. Ας ξεκινήσουμε με απλό τρόπο:</w:t>
      </w:r>
    </w:p>
    <w:p w14:paraId="1BB61B3D" w14:textId="77777777" w:rsidR="00486A9B" w:rsidRPr="00486A9B" w:rsidRDefault="00486A9B" w:rsidP="00486A9B">
      <w:pPr>
        <w:rPr>
          <w:lang w:val="el-GR"/>
        </w:rPr>
      </w:pPr>
      <w:r w:rsidRPr="00486A9B">
        <w:rPr>
          <w:u w:val="single"/>
          <w:lang w:val="el-GR"/>
        </w:rPr>
        <w:t>1.Τι είναι το ΕΤΕΑΕΠ</w:t>
      </w:r>
      <w:r w:rsidRPr="00486A9B">
        <w:rPr>
          <w:lang w:val="el-GR"/>
        </w:rPr>
        <w:t>:</w:t>
      </w:r>
    </w:p>
    <w:p w14:paraId="343FC67B" w14:textId="77777777" w:rsidR="00486A9B" w:rsidRPr="00486A9B" w:rsidRDefault="00486A9B" w:rsidP="00486A9B">
      <w:pPr>
        <w:rPr>
          <w:lang w:val="el-GR"/>
        </w:rPr>
      </w:pPr>
      <w:r w:rsidRPr="00486A9B">
        <w:rPr>
          <w:lang w:val="el-GR"/>
        </w:rPr>
        <w:t xml:space="preserve">Είναι το Ενιαίο Ταμείο Επικουρικής Ασφάλισης και Εφάπαξ Παροχών που ιδρύθηκε με τα άρθρα 74 </w:t>
      </w:r>
      <w:proofErr w:type="spellStart"/>
      <w:r w:rsidRPr="00486A9B">
        <w:rPr>
          <w:lang w:val="el-GR"/>
        </w:rPr>
        <w:t>επ</w:t>
      </w:r>
      <w:proofErr w:type="spellEnd"/>
      <w:r w:rsidRPr="00486A9B">
        <w:rPr>
          <w:lang w:val="el-GR"/>
        </w:rPr>
        <w:t>. του ν.4387/2016 και στο οποίο έχουν ενταχθεί ο Κλάδος Επικουρικής Ασφάλισης Δικηγόρων (ΚΕΑΔ) και ο Τομέας Προνοίας Δικηγόρων Αθηνών (ΤΠΔΑ).</w:t>
      </w:r>
    </w:p>
    <w:p w14:paraId="0DAE35ED" w14:textId="77777777" w:rsidR="00486A9B" w:rsidRPr="00486A9B" w:rsidRDefault="00486A9B" w:rsidP="00486A9B">
      <w:pPr>
        <w:rPr>
          <w:lang w:val="el-GR"/>
        </w:rPr>
      </w:pPr>
      <w:r w:rsidRPr="00486A9B">
        <w:rPr>
          <w:u w:val="single"/>
          <w:lang w:val="el-GR"/>
        </w:rPr>
        <w:t>2.Ποιες είναι οι εισφορές και από πότε επιβάλλονται:</w:t>
      </w:r>
    </w:p>
    <w:p w14:paraId="6F578562" w14:textId="77777777" w:rsidR="00486A9B" w:rsidRPr="00486A9B" w:rsidRDefault="00486A9B" w:rsidP="00486A9B">
      <w:pPr>
        <w:rPr>
          <w:lang w:val="el-GR"/>
        </w:rPr>
      </w:pPr>
      <w:r w:rsidRPr="00486A9B">
        <w:rPr>
          <w:u w:val="single"/>
          <w:lang w:val="el-GR"/>
        </w:rPr>
        <w:t>Α) Επικουρική ασφάλιση:</w:t>
      </w:r>
      <w:r w:rsidRPr="00486A9B">
        <w:rPr>
          <w:lang w:val="el-GR"/>
        </w:rPr>
        <w:t> Οι εισφορές αυτές προβλέπονται στο άρθρο 97 του ν.4387/2016, επιβάλλονται από 1.1.2017, </w:t>
      </w:r>
      <w:r w:rsidRPr="00486A9B">
        <w:rPr>
          <w:u w:val="single"/>
          <w:lang w:val="el-GR"/>
        </w:rPr>
        <w:t xml:space="preserve">αφορούν όλους τους </w:t>
      </w:r>
      <w:r>
        <w:rPr>
          <w:u w:val="single"/>
          <w:lang w:val="el-GR"/>
        </w:rPr>
        <w:t xml:space="preserve">συμβολαιογράφους, αλλά και τους </w:t>
      </w:r>
      <w:r w:rsidRPr="00486A9B">
        <w:rPr>
          <w:u w:val="single"/>
          <w:lang w:val="el-GR"/>
        </w:rPr>
        <w:t>δικηγόρους</w:t>
      </w:r>
      <w:r>
        <w:rPr>
          <w:u w:val="single"/>
          <w:lang w:val="el-GR"/>
        </w:rPr>
        <w:t xml:space="preserve"> και μηχανικούς </w:t>
      </w:r>
      <w:r w:rsidRPr="00486A9B">
        <w:rPr>
          <w:u w:val="single"/>
          <w:lang w:val="el-GR"/>
        </w:rPr>
        <w:t xml:space="preserve"> της χώρας</w:t>
      </w:r>
      <w:r>
        <w:rPr>
          <w:u w:val="single"/>
          <w:lang w:val="el-GR"/>
        </w:rPr>
        <w:t xml:space="preserve"> (και άλλους ασφαλισμένους)</w:t>
      </w:r>
      <w:r w:rsidRPr="00486A9B">
        <w:rPr>
          <w:u w:val="single"/>
          <w:lang w:val="el-GR"/>
        </w:rPr>
        <w:t> </w:t>
      </w:r>
      <w:r w:rsidRPr="00486A9B">
        <w:rPr>
          <w:lang w:val="el-GR"/>
        </w:rPr>
        <w:t xml:space="preserve">και αρχικώς είχαν οριστεί ως ποσοστό 7% επί του Καθαρού Φορολογητέου Αποτελέσματος της προηγούμενης χρήσης. Πλέον μετά την ισχύ του ν.4578/2018 οι εισφορές αυτές είναι ουσιαστικά πάγιες, ως ποσοστό 7% επί του κατώτατου μισθού και μάλιστα με αναδρομική ισχύ από 1.1.2017. Τούτο αποτελεί σημαντική επιτυχία για </w:t>
      </w:r>
      <w:r>
        <w:rPr>
          <w:lang w:val="el-GR"/>
        </w:rPr>
        <w:t>τους επιστημονικούς φορείς</w:t>
      </w:r>
      <w:r w:rsidRPr="00486A9B">
        <w:rPr>
          <w:lang w:val="el-GR"/>
        </w:rPr>
        <w:t>, αφού περιορίζει σημαντικά τον εισπρακτικό – φορολογικό χαρακτήρα των εισφορών.</w:t>
      </w:r>
    </w:p>
    <w:p w14:paraId="0BA4FAF7" w14:textId="77777777" w:rsidR="00486A9B" w:rsidRPr="00486A9B" w:rsidRDefault="00486A9B" w:rsidP="00486A9B">
      <w:pPr>
        <w:rPr>
          <w:lang w:val="el-GR"/>
        </w:rPr>
      </w:pPr>
      <w:r w:rsidRPr="00486A9B">
        <w:rPr>
          <w:u w:val="single"/>
          <w:lang w:val="el-GR"/>
        </w:rPr>
        <w:t>Μηνιαία εισφορά:</w:t>
      </w:r>
      <w:r w:rsidRPr="00486A9B">
        <w:rPr>
          <w:lang w:val="el-GR"/>
        </w:rPr>
        <w:t>          α) από 1.1.17 έως 31.1.19 (κατώτατος μισθός 586,08) 41,02 ευρώ</w:t>
      </w:r>
    </w:p>
    <w:p w14:paraId="533C7AAB" w14:textId="77777777" w:rsidR="00486A9B" w:rsidRPr="00486A9B" w:rsidRDefault="00486A9B" w:rsidP="00486A9B">
      <w:pPr>
        <w:rPr>
          <w:lang w:val="el-GR"/>
        </w:rPr>
      </w:pPr>
      <w:r w:rsidRPr="00486A9B">
        <w:rPr>
          <w:lang w:val="el-GR"/>
        </w:rPr>
        <w:t>                                                β) από 1.2.19 (κατώτατος μισθός 650) 45,50 ευρώ</w:t>
      </w:r>
    </w:p>
    <w:p w14:paraId="523AE104" w14:textId="77777777" w:rsidR="00486A9B" w:rsidRPr="00486A9B" w:rsidRDefault="00486A9B" w:rsidP="00486A9B">
      <w:pPr>
        <w:rPr>
          <w:lang w:val="el-GR"/>
        </w:rPr>
      </w:pPr>
      <w:r w:rsidRPr="00486A9B">
        <w:rPr>
          <w:u w:val="single"/>
          <w:lang w:val="el-GR"/>
        </w:rPr>
        <w:t>Β) Πρόνοια (</w:t>
      </w:r>
      <w:r>
        <w:rPr>
          <w:u w:val="single"/>
          <w:lang w:val="el-GR"/>
        </w:rPr>
        <w:t>εφάπαξ</w:t>
      </w:r>
      <w:r w:rsidRPr="00486A9B">
        <w:rPr>
          <w:u w:val="single"/>
          <w:lang w:val="el-GR"/>
        </w:rPr>
        <w:t>)</w:t>
      </w:r>
      <w:r w:rsidRPr="00486A9B">
        <w:rPr>
          <w:lang w:val="el-GR"/>
        </w:rPr>
        <w:t> Οι εισφορές αυτές προβλέπονται στο άρθρο 35 του ν.4387/2016, επιβάλλονται από 1.1.2017, </w:t>
      </w:r>
      <w:r w:rsidRPr="00486A9B">
        <w:rPr>
          <w:u w:val="single"/>
          <w:lang w:val="el-GR"/>
        </w:rPr>
        <w:t xml:space="preserve">αφορούν </w:t>
      </w:r>
      <w:r>
        <w:rPr>
          <w:u w:val="single"/>
          <w:lang w:val="el-GR"/>
        </w:rPr>
        <w:t>Συμβολαιογράφους, Μηχανικούς,</w:t>
      </w:r>
      <w:r w:rsidRPr="00486A9B">
        <w:rPr>
          <w:u w:val="single"/>
          <w:lang w:val="el-GR"/>
        </w:rPr>
        <w:t xml:space="preserve"> δικηγόρους Αθηνών</w:t>
      </w:r>
      <w:r>
        <w:rPr>
          <w:u w:val="single"/>
          <w:lang w:val="el-GR"/>
        </w:rPr>
        <w:t xml:space="preserve">, Υγειονομικούς, </w:t>
      </w:r>
      <w:proofErr w:type="spellStart"/>
      <w:r>
        <w:rPr>
          <w:u w:val="single"/>
          <w:lang w:val="el-GR"/>
        </w:rPr>
        <w:t>Δικ.Επιμελητές</w:t>
      </w:r>
      <w:proofErr w:type="spellEnd"/>
      <w:r>
        <w:rPr>
          <w:u w:val="single"/>
          <w:lang w:val="el-GR"/>
        </w:rPr>
        <w:t xml:space="preserve"> κλπ.</w:t>
      </w:r>
      <w:r w:rsidRPr="00486A9B">
        <w:rPr>
          <w:u w:val="single"/>
          <w:lang w:val="el-GR"/>
        </w:rPr>
        <w:t> </w:t>
      </w:r>
      <w:r w:rsidRPr="00486A9B">
        <w:rPr>
          <w:lang w:val="el-GR"/>
        </w:rPr>
        <w:t>και αρχικώς είχαν οριστεί ως ποσοστό 4% επί του Καθαρού Φορολογητέου Αποτελέσματος της προηγούμενης χρήσης. Πλέον μετά την ισχύ του ν.4578/2018 οι εισφορές αυτές είναι ουσιαστικά πάγιες, ως ποσοστό 4% επί του κατώτατου μισθού και μάλιστα με αναδρομική ισχύ από 1.1.2017. Τούτο αποτελεί σημαντική επιτυχία για τον Κλάδο μας, αφού περιορίζει σημαντικά τον εισπρακτικό – φορολογικό χαρακτήρα των εισφορών.</w:t>
      </w:r>
    </w:p>
    <w:p w14:paraId="37D729B3" w14:textId="77777777" w:rsidR="00486A9B" w:rsidRPr="00486A9B" w:rsidRDefault="00486A9B" w:rsidP="00486A9B">
      <w:pPr>
        <w:rPr>
          <w:lang w:val="el-GR"/>
        </w:rPr>
      </w:pPr>
      <w:r w:rsidRPr="00486A9B">
        <w:rPr>
          <w:u w:val="single"/>
          <w:lang w:val="el-GR"/>
        </w:rPr>
        <w:t>Μηνιαία εισφορά:</w:t>
      </w:r>
      <w:r w:rsidRPr="00486A9B">
        <w:rPr>
          <w:lang w:val="el-GR"/>
        </w:rPr>
        <w:t>          α) από 1.1.17 έως 31.1.19 (κατώτατος μισθός 586,08) 23,44 ευρώ</w:t>
      </w:r>
    </w:p>
    <w:p w14:paraId="54678A4C" w14:textId="77777777" w:rsidR="00486A9B" w:rsidRPr="00486A9B" w:rsidRDefault="00486A9B" w:rsidP="00486A9B">
      <w:pPr>
        <w:rPr>
          <w:lang w:val="el-GR"/>
        </w:rPr>
      </w:pPr>
      <w:r w:rsidRPr="00486A9B">
        <w:rPr>
          <w:lang w:val="el-GR"/>
        </w:rPr>
        <w:t>                                                β) από 1.2.19 (κατώτατος μισθός 650) 26,00 ευρώ</w:t>
      </w:r>
    </w:p>
    <w:p w14:paraId="23317062" w14:textId="77777777" w:rsidR="00486A9B" w:rsidRPr="00486A9B" w:rsidRDefault="00486A9B" w:rsidP="00486A9B">
      <w:pPr>
        <w:rPr>
          <w:lang w:val="el-GR"/>
        </w:rPr>
      </w:pPr>
      <w:r w:rsidRPr="00486A9B">
        <w:rPr>
          <w:u w:val="single"/>
          <w:lang w:val="el-GR"/>
        </w:rPr>
        <w:t>3. Γιατί έχω να πληρώσω αναδρομικά και σε πόσες δόσεις:</w:t>
      </w:r>
    </w:p>
    <w:p w14:paraId="3AB13339" w14:textId="77777777" w:rsidR="00486A9B" w:rsidRPr="00486A9B" w:rsidRDefault="00486A9B" w:rsidP="00486A9B">
      <w:pPr>
        <w:rPr>
          <w:lang w:val="el-GR"/>
        </w:rPr>
      </w:pPr>
      <w:r w:rsidRPr="00486A9B">
        <w:rPr>
          <w:lang w:val="el-GR"/>
        </w:rPr>
        <w:t>Η καθυστέρηση οφείλεται σε υπαιτιότητα της Πολιτείας (ΕΤΕΑΕΠ και Υπουργείο Εργασίας) και σύμφωνα με σχετική εγκύκλιο του Υπουργείου, τα αναδρομικά αφορούν το χρονικό διάστημα από 1.1.2017 έως και 31.12.2018, έχουν εκκαθαριστεί και θα επιβληθούν σε 36 δόσεις.</w:t>
      </w:r>
    </w:p>
    <w:p w14:paraId="3B06E075" w14:textId="77777777" w:rsidR="00486A9B" w:rsidRDefault="00486A9B" w:rsidP="00486A9B">
      <w:pPr>
        <w:rPr>
          <w:u w:val="single"/>
          <w:lang w:val="el-GR"/>
        </w:rPr>
      </w:pPr>
      <w:r w:rsidRPr="00486A9B">
        <w:rPr>
          <w:u w:val="single"/>
          <w:lang w:val="el-GR"/>
        </w:rPr>
        <w:t>4. Ποια είναι η συνολική επιβάρυνσή μου:</w:t>
      </w:r>
    </w:p>
    <w:p w14:paraId="11DDBEAD" w14:textId="77777777" w:rsidR="00946854" w:rsidRPr="00486A9B" w:rsidRDefault="00946854" w:rsidP="00486A9B">
      <w:pPr>
        <w:rPr>
          <w:lang w:val="el-GR"/>
        </w:rPr>
      </w:pPr>
    </w:p>
    <w:p w14:paraId="02E8A1FB" w14:textId="77777777" w:rsidR="00486A9B" w:rsidRPr="00486A9B" w:rsidRDefault="00486A9B" w:rsidP="00486A9B">
      <w:pPr>
        <w:rPr>
          <w:lang w:val="el-GR"/>
        </w:rPr>
      </w:pPr>
      <w:r w:rsidRPr="00486A9B">
        <w:rPr>
          <w:lang w:val="el-GR"/>
        </w:rPr>
        <w:t> ΑΣΦΑΛΙΣΜΕΝΟΙ ΑΝΩ ΤΗΣ ΠΕΝΤΑΕΤΙΑΣ –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027"/>
        <w:gridCol w:w="1724"/>
        <w:gridCol w:w="2430"/>
        <w:gridCol w:w="2174"/>
      </w:tblGrid>
      <w:tr w:rsidR="00486A9B" w:rsidRPr="00486A9B" w14:paraId="5F92B7B4" w14:textId="77777777" w:rsidTr="00486A9B">
        <w:tc>
          <w:tcPr>
            <w:tcW w:w="206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319AD754" w14:textId="77777777" w:rsidR="00486A9B" w:rsidRPr="00486A9B" w:rsidRDefault="00486A9B" w:rsidP="00486A9B">
            <w:r w:rsidRPr="00486A9B">
              <w:rPr>
                <w:b/>
                <w:bCs/>
                <w:lang w:val="el-GR"/>
              </w:rPr>
              <w:lastRenderedPageBreak/>
              <w:t>ΕΛΑΧΙΣΤΗ ΒΑΣΗ</w:t>
            </w:r>
          </w:p>
        </w:tc>
        <w:tc>
          <w:tcPr>
            <w:tcW w:w="144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1C436D63" w14:textId="77777777" w:rsidR="00486A9B" w:rsidRPr="00486A9B" w:rsidRDefault="00486A9B" w:rsidP="00486A9B">
            <w:r w:rsidRPr="00486A9B">
              <w:rPr>
                <w:lang w:val="el-GR"/>
              </w:rPr>
              <w:t>ΕΠΙΚΟΥΡΙΚΗ 7% (ΑΠΑΝΤΕΣ ΠΛΗΝ ΥΓΕΙΟΝΟΜΙΚΩΝ)</w:t>
            </w:r>
          </w:p>
        </w:tc>
        <w:tc>
          <w:tcPr>
            <w:tcW w:w="252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61C83E76" w14:textId="77777777" w:rsidR="00486A9B" w:rsidRPr="00486A9B" w:rsidRDefault="00486A9B" w:rsidP="00486A9B">
            <w:pPr>
              <w:rPr>
                <w:lang w:val="el-GR"/>
              </w:rPr>
            </w:pPr>
            <w:r w:rsidRPr="00486A9B">
              <w:rPr>
                <w:lang w:val="el-GR"/>
              </w:rPr>
              <w:t>ΠΡΟΝΟΙΑ 4% (ΔΙΚΗΓΟΡΟΙ ΑΘΗΝΩΝ, ΣΥΜΒ/ΦΟΙ, ΔΙΚ.ΕΠΙΜΕΛΗΤΕΣ, ΜΗΧΑΝΙΚΟΙ, ΥΓΕΙΟΝΟΜΙΚΟΙ)</w:t>
            </w:r>
          </w:p>
        </w:tc>
        <w:tc>
          <w:tcPr>
            <w:tcW w:w="234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5A112A5A" w14:textId="77777777" w:rsidR="00486A9B" w:rsidRPr="00486A9B" w:rsidRDefault="00486A9B" w:rsidP="00486A9B">
            <w:r w:rsidRPr="00486A9B">
              <w:rPr>
                <w:b/>
                <w:bCs/>
              </w:rPr>
              <w:t>ΣΥΝΟΛΟ</w:t>
            </w:r>
          </w:p>
        </w:tc>
      </w:tr>
      <w:tr w:rsidR="00486A9B" w:rsidRPr="00486A9B" w14:paraId="1C6280EB" w14:textId="77777777" w:rsidTr="00486A9B">
        <w:tc>
          <w:tcPr>
            <w:tcW w:w="2060"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1A9E5BA5" w14:textId="77777777" w:rsidR="00486A9B" w:rsidRPr="00486A9B" w:rsidRDefault="00486A9B" w:rsidP="00486A9B">
            <w:r w:rsidRPr="00486A9B">
              <w:rPr>
                <w:b/>
                <w:bCs/>
              </w:rPr>
              <w:t>2017-8 (586,08)</w:t>
            </w:r>
          </w:p>
        </w:tc>
        <w:tc>
          <w:tcPr>
            <w:tcW w:w="14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482E87F5" w14:textId="77777777" w:rsidR="00486A9B" w:rsidRPr="00486A9B" w:rsidRDefault="00486A9B" w:rsidP="00486A9B">
            <w:r w:rsidRPr="00486A9B">
              <w:rPr>
                <w:lang w:val="el-GR"/>
              </w:rPr>
              <w:t>41,02</w:t>
            </w:r>
          </w:p>
        </w:tc>
        <w:tc>
          <w:tcPr>
            <w:tcW w:w="252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3C2292A1" w14:textId="77777777" w:rsidR="00486A9B" w:rsidRPr="00486A9B" w:rsidRDefault="00486A9B" w:rsidP="00486A9B">
            <w:r w:rsidRPr="00486A9B">
              <w:rPr>
                <w:lang w:val="el-GR"/>
              </w:rPr>
              <w:t>23</w:t>
            </w:r>
            <w:r w:rsidRPr="00486A9B">
              <w:t>,</w:t>
            </w:r>
            <w:r w:rsidRPr="00486A9B">
              <w:rPr>
                <w:lang w:val="el-GR"/>
              </w:rPr>
              <w:t>44</w:t>
            </w:r>
          </w:p>
        </w:tc>
        <w:tc>
          <w:tcPr>
            <w:tcW w:w="23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155FEF0D" w14:textId="77777777" w:rsidR="00486A9B" w:rsidRPr="00486A9B" w:rsidRDefault="00486A9B" w:rsidP="00486A9B">
            <w:r w:rsidRPr="00486A9B">
              <w:rPr>
                <w:lang w:val="el-GR"/>
              </w:rPr>
              <w:t>64,46</w:t>
            </w:r>
          </w:p>
        </w:tc>
      </w:tr>
      <w:tr w:rsidR="00486A9B" w:rsidRPr="00486A9B" w14:paraId="6A5688BB" w14:textId="77777777" w:rsidTr="00486A9B">
        <w:trPr>
          <w:trHeight w:val="655"/>
        </w:trPr>
        <w:tc>
          <w:tcPr>
            <w:tcW w:w="2060"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09F87DE2" w14:textId="77777777" w:rsidR="00486A9B" w:rsidRPr="00486A9B" w:rsidRDefault="00486A9B" w:rsidP="00486A9B">
            <w:proofErr w:type="gramStart"/>
            <w:r w:rsidRPr="00486A9B">
              <w:rPr>
                <w:b/>
                <w:bCs/>
              </w:rPr>
              <w:t>2019</w:t>
            </w:r>
            <w:r w:rsidRPr="00486A9B">
              <w:rPr>
                <w:b/>
                <w:bCs/>
                <w:lang w:val="el-GR"/>
              </w:rPr>
              <w:t>  </w:t>
            </w:r>
            <w:r w:rsidRPr="00486A9B">
              <w:rPr>
                <w:b/>
                <w:bCs/>
              </w:rPr>
              <w:t>(</w:t>
            </w:r>
            <w:proofErr w:type="gramEnd"/>
            <w:r w:rsidRPr="00486A9B">
              <w:rPr>
                <w:b/>
                <w:bCs/>
              </w:rPr>
              <w:t>6</w:t>
            </w:r>
            <w:r w:rsidRPr="00486A9B">
              <w:rPr>
                <w:b/>
                <w:bCs/>
                <w:lang w:val="el-GR"/>
              </w:rPr>
              <w:t>5</w:t>
            </w:r>
            <w:r w:rsidRPr="00486A9B">
              <w:rPr>
                <w:b/>
                <w:bCs/>
              </w:rPr>
              <w:t>0)</w:t>
            </w:r>
          </w:p>
        </w:tc>
        <w:tc>
          <w:tcPr>
            <w:tcW w:w="14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1D01F7A8" w14:textId="77777777" w:rsidR="00486A9B" w:rsidRPr="00486A9B" w:rsidRDefault="00486A9B" w:rsidP="00486A9B">
            <w:r w:rsidRPr="00486A9B">
              <w:rPr>
                <w:lang w:val="el-GR"/>
              </w:rPr>
              <w:t>45,50</w:t>
            </w:r>
          </w:p>
        </w:tc>
        <w:tc>
          <w:tcPr>
            <w:tcW w:w="252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6F86B67B" w14:textId="77777777" w:rsidR="00486A9B" w:rsidRPr="00486A9B" w:rsidRDefault="00486A9B" w:rsidP="00486A9B">
            <w:r w:rsidRPr="00486A9B">
              <w:rPr>
                <w:lang w:val="el-GR"/>
              </w:rPr>
              <w:t>26,00</w:t>
            </w:r>
          </w:p>
        </w:tc>
        <w:tc>
          <w:tcPr>
            <w:tcW w:w="23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1E136D58" w14:textId="77777777" w:rsidR="00486A9B" w:rsidRPr="00486A9B" w:rsidRDefault="00486A9B" w:rsidP="00486A9B">
            <w:r w:rsidRPr="00486A9B">
              <w:rPr>
                <w:lang w:val="el-GR"/>
              </w:rPr>
              <w:t>71,50</w:t>
            </w:r>
          </w:p>
        </w:tc>
      </w:tr>
      <w:tr w:rsidR="00486A9B" w:rsidRPr="00486A9B" w14:paraId="3BCFBF34" w14:textId="77777777" w:rsidTr="00486A9B">
        <w:tc>
          <w:tcPr>
            <w:tcW w:w="2060"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14C85DE1" w14:textId="77777777" w:rsidR="00486A9B" w:rsidRPr="00486A9B" w:rsidRDefault="00486A9B" w:rsidP="00486A9B">
            <w:r w:rsidRPr="00486A9B">
              <w:rPr>
                <w:lang w:val="el-GR"/>
              </w:rPr>
              <w:t>ΑΥΞΗΣΗ</w:t>
            </w:r>
          </w:p>
        </w:tc>
        <w:tc>
          <w:tcPr>
            <w:tcW w:w="14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65C64273" w14:textId="77777777" w:rsidR="00486A9B" w:rsidRPr="00486A9B" w:rsidRDefault="00486A9B" w:rsidP="00486A9B">
            <w:r w:rsidRPr="00486A9B">
              <w:rPr>
                <w:b/>
                <w:bCs/>
                <w:lang w:val="el-GR"/>
              </w:rPr>
              <w:t>+4</w:t>
            </w:r>
            <w:r w:rsidRPr="00486A9B">
              <w:rPr>
                <w:b/>
                <w:bCs/>
              </w:rPr>
              <w:t>,</w:t>
            </w:r>
            <w:r w:rsidRPr="00486A9B">
              <w:rPr>
                <w:b/>
                <w:bCs/>
                <w:lang w:val="el-GR"/>
              </w:rPr>
              <w:t>4</w:t>
            </w:r>
            <w:r w:rsidRPr="00486A9B">
              <w:rPr>
                <w:b/>
                <w:bCs/>
              </w:rPr>
              <w:t>8</w:t>
            </w:r>
          </w:p>
        </w:tc>
        <w:tc>
          <w:tcPr>
            <w:tcW w:w="252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01F01B16" w14:textId="77777777" w:rsidR="00486A9B" w:rsidRPr="00486A9B" w:rsidRDefault="00486A9B" w:rsidP="00486A9B">
            <w:r w:rsidRPr="00486A9B">
              <w:rPr>
                <w:b/>
                <w:bCs/>
                <w:lang w:val="el-GR"/>
              </w:rPr>
              <w:t>+2</w:t>
            </w:r>
            <w:r w:rsidRPr="00486A9B">
              <w:rPr>
                <w:b/>
                <w:bCs/>
              </w:rPr>
              <w:t>,</w:t>
            </w:r>
            <w:r w:rsidRPr="00486A9B">
              <w:rPr>
                <w:b/>
                <w:bCs/>
                <w:lang w:val="el-GR"/>
              </w:rPr>
              <w:t>56</w:t>
            </w:r>
          </w:p>
        </w:tc>
        <w:tc>
          <w:tcPr>
            <w:tcW w:w="23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734BBE48" w14:textId="77777777" w:rsidR="00486A9B" w:rsidRPr="00486A9B" w:rsidRDefault="00486A9B" w:rsidP="00486A9B">
            <w:r w:rsidRPr="00486A9B">
              <w:rPr>
                <w:b/>
                <w:bCs/>
                <w:lang w:val="el-GR"/>
              </w:rPr>
              <w:t>+7,04</w:t>
            </w:r>
          </w:p>
        </w:tc>
      </w:tr>
      <w:tr w:rsidR="00486A9B" w:rsidRPr="00486A9B" w14:paraId="7BE75FCA" w14:textId="77777777" w:rsidTr="00486A9B">
        <w:tc>
          <w:tcPr>
            <w:tcW w:w="2060" w:type="dxa"/>
            <w:tcBorders>
              <w:top w:val="single" w:sz="8" w:space="0" w:color="auto"/>
              <w:left w:val="single" w:sz="8" w:space="0" w:color="auto"/>
              <w:bottom w:val="single" w:sz="8" w:space="0" w:color="auto"/>
              <w:right w:val="single" w:sz="8" w:space="0" w:color="auto"/>
            </w:tcBorders>
            <w:shd w:val="clear" w:color="auto" w:fill="8EAADB"/>
            <w:tcMar>
              <w:top w:w="0" w:type="dxa"/>
              <w:left w:w="108" w:type="dxa"/>
              <w:bottom w:w="0" w:type="dxa"/>
              <w:right w:w="108" w:type="dxa"/>
            </w:tcMar>
            <w:hideMark/>
          </w:tcPr>
          <w:p w14:paraId="2BE6FFCA" w14:textId="77777777" w:rsidR="00486A9B" w:rsidRPr="00486A9B" w:rsidRDefault="00486A9B" w:rsidP="00486A9B">
            <w:r w:rsidRPr="00486A9B">
              <w:rPr>
                <w:lang w:val="el-GR"/>
              </w:rPr>
              <w:t>ΑΝΑΔΡΟΜΙΚΑ (2017 -2018) ΕΠΊ 36 ΜΗΝΕΣ Ή ΑΠΟ ΕΙΔΟΠ.1</w:t>
            </w:r>
            <w:r w:rsidRPr="00486A9B">
              <w:rPr>
                <w:vertAlign w:val="superscript"/>
                <w:lang w:val="el-GR"/>
              </w:rPr>
              <w:t>ου</w:t>
            </w:r>
            <w:r w:rsidRPr="00486A9B">
              <w:rPr>
                <w:lang w:val="el-GR"/>
              </w:rPr>
              <w:t> 2019 ΕΩΣ ΕΙΔΟΠ. 12</w:t>
            </w:r>
            <w:r w:rsidRPr="00486A9B">
              <w:rPr>
                <w:vertAlign w:val="superscript"/>
                <w:lang w:val="el-GR"/>
              </w:rPr>
              <w:t>ου</w:t>
            </w:r>
            <w:r w:rsidRPr="00486A9B">
              <w:rPr>
                <w:lang w:val="el-GR"/>
              </w:rPr>
              <w:t>2021</w:t>
            </w:r>
          </w:p>
        </w:tc>
        <w:tc>
          <w:tcPr>
            <w:tcW w:w="14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57EFB050" w14:textId="77777777" w:rsidR="00486A9B" w:rsidRPr="00486A9B" w:rsidRDefault="00486A9B" w:rsidP="00486A9B"/>
          <w:p w14:paraId="214BD54A" w14:textId="77777777" w:rsidR="00486A9B" w:rsidRPr="00486A9B" w:rsidRDefault="00486A9B" w:rsidP="00486A9B"/>
          <w:p w14:paraId="754244C2" w14:textId="77777777" w:rsidR="00486A9B" w:rsidRPr="00486A9B" w:rsidRDefault="00486A9B" w:rsidP="00486A9B">
            <w:r w:rsidRPr="00486A9B">
              <w:rPr>
                <w:b/>
                <w:bCs/>
                <w:lang w:val="el-GR"/>
              </w:rPr>
              <w:t>+ 27,35</w:t>
            </w:r>
          </w:p>
        </w:tc>
        <w:tc>
          <w:tcPr>
            <w:tcW w:w="252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0A54AE41" w14:textId="77777777" w:rsidR="00486A9B" w:rsidRPr="00486A9B" w:rsidRDefault="00486A9B" w:rsidP="00486A9B"/>
          <w:p w14:paraId="6DADBD1E" w14:textId="77777777" w:rsidR="00486A9B" w:rsidRPr="00486A9B" w:rsidRDefault="00486A9B" w:rsidP="00486A9B"/>
          <w:p w14:paraId="3D3D0902" w14:textId="77777777" w:rsidR="00486A9B" w:rsidRPr="00486A9B" w:rsidRDefault="00486A9B" w:rsidP="00486A9B">
            <w:r w:rsidRPr="00486A9B">
              <w:rPr>
                <w:b/>
                <w:bCs/>
                <w:lang w:val="el-GR"/>
              </w:rPr>
              <w:t>+15,63</w:t>
            </w:r>
          </w:p>
        </w:tc>
        <w:tc>
          <w:tcPr>
            <w:tcW w:w="234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698F54C9" w14:textId="77777777" w:rsidR="00486A9B" w:rsidRPr="00486A9B" w:rsidRDefault="00486A9B" w:rsidP="00486A9B"/>
          <w:p w14:paraId="3AB492AA" w14:textId="77777777" w:rsidR="00486A9B" w:rsidRPr="00486A9B" w:rsidRDefault="00486A9B" w:rsidP="00486A9B"/>
          <w:p w14:paraId="3C6B4FF6" w14:textId="77777777" w:rsidR="00486A9B" w:rsidRPr="00486A9B" w:rsidRDefault="00486A9B" w:rsidP="00486A9B">
            <w:r w:rsidRPr="00486A9B">
              <w:rPr>
                <w:b/>
                <w:bCs/>
                <w:lang w:val="el-GR"/>
              </w:rPr>
              <w:t>+42,98</w:t>
            </w:r>
          </w:p>
        </w:tc>
      </w:tr>
      <w:tr w:rsidR="00486A9B" w:rsidRPr="00486A9B" w14:paraId="7CA884FE" w14:textId="77777777" w:rsidTr="00486A9B">
        <w:tc>
          <w:tcPr>
            <w:tcW w:w="2060" w:type="dxa"/>
            <w:tcBorders>
              <w:top w:val="single" w:sz="8" w:space="0" w:color="auto"/>
              <w:left w:val="single" w:sz="8" w:space="0" w:color="auto"/>
              <w:bottom w:val="single" w:sz="8" w:space="0" w:color="auto"/>
              <w:right w:val="single" w:sz="8" w:space="0" w:color="auto"/>
            </w:tcBorders>
            <w:shd w:val="clear" w:color="auto" w:fill="8496B0"/>
            <w:tcMar>
              <w:top w:w="0" w:type="dxa"/>
              <w:left w:w="108" w:type="dxa"/>
              <w:bottom w:w="0" w:type="dxa"/>
              <w:right w:w="108" w:type="dxa"/>
            </w:tcMar>
            <w:hideMark/>
          </w:tcPr>
          <w:p w14:paraId="7652B6E6" w14:textId="77777777" w:rsidR="00486A9B" w:rsidRPr="00486A9B" w:rsidRDefault="00486A9B" w:rsidP="00486A9B">
            <w:r w:rsidRPr="00486A9B">
              <w:rPr>
                <w:lang w:val="el-GR"/>
              </w:rPr>
              <w:t>ΣΥΝΟΛΟ ΕΙΔΟΠΟΙΗΤΗΡΙΟΥ</w:t>
            </w:r>
          </w:p>
        </w:tc>
        <w:tc>
          <w:tcPr>
            <w:tcW w:w="1440" w:type="dxa"/>
            <w:tcBorders>
              <w:top w:val="nil"/>
              <w:left w:val="nil"/>
              <w:bottom w:val="single" w:sz="8" w:space="0" w:color="auto"/>
              <w:right w:val="single" w:sz="8" w:space="0" w:color="auto"/>
            </w:tcBorders>
            <w:shd w:val="clear" w:color="auto" w:fill="8496B0"/>
            <w:tcMar>
              <w:top w:w="0" w:type="dxa"/>
              <w:left w:w="108" w:type="dxa"/>
              <w:bottom w:w="0" w:type="dxa"/>
              <w:right w:w="108" w:type="dxa"/>
            </w:tcMar>
            <w:hideMark/>
          </w:tcPr>
          <w:p w14:paraId="5E3F92C2" w14:textId="77777777" w:rsidR="00486A9B" w:rsidRPr="00486A9B" w:rsidRDefault="00486A9B" w:rsidP="00486A9B">
            <w:r w:rsidRPr="00486A9B">
              <w:rPr>
                <w:b/>
                <w:bCs/>
                <w:lang w:val="el-GR"/>
              </w:rPr>
              <w:t>(45,50+27,35)</w:t>
            </w:r>
          </w:p>
          <w:p w14:paraId="47EE0A65" w14:textId="77777777" w:rsidR="00486A9B" w:rsidRPr="00486A9B" w:rsidRDefault="00486A9B" w:rsidP="00486A9B">
            <w:r w:rsidRPr="00486A9B">
              <w:rPr>
                <w:b/>
                <w:bCs/>
                <w:lang w:val="el-GR"/>
              </w:rPr>
              <w:t>72,80</w:t>
            </w:r>
          </w:p>
        </w:tc>
        <w:tc>
          <w:tcPr>
            <w:tcW w:w="2520" w:type="dxa"/>
            <w:tcBorders>
              <w:top w:val="nil"/>
              <w:left w:val="nil"/>
              <w:bottom w:val="single" w:sz="8" w:space="0" w:color="auto"/>
              <w:right w:val="single" w:sz="8" w:space="0" w:color="auto"/>
            </w:tcBorders>
            <w:shd w:val="clear" w:color="auto" w:fill="8496B0"/>
            <w:tcMar>
              <w:top w:w="0" w:type="dxa"/>
              <w:left w:w="108" w:type="dxa"/>
              <w:bottom w:w="0" w:type="dxa"/>
              <w:right w:w="108" w:type="dxa"/>
            </w:tcMar>
            <w:hideMark/>
          </w:tcPr>
          <w:p w14:paraId="1211B071" w14:textId="77777777" w:rsidR="00486A9B" w:rsidRPr="00486A9B" w:rsidRDefault="00486A9B" w:rsidP="00486A9B">
            <w:r w:rsidRPr="00486A9B">
              <w:rPr>
                <w:b/>
                <w:bCs/>
                <w:lang w:val="el-GR"/>
              </w:rPr>
              <w:t>(26+15,63)</w:t>
            </w:r>
          </w:p>
          <w:p w14:paraId="4BAA9A2B" w14:textId="77777777" w:rsidR="00486A9B" w:rsidRPr="00486A9B" w:rsidRDefault="00486A9B" w:rsidP="00486A9B">
            <w:r w:rsidRPr="00486A9B">
              <w:rPr>
                <w:b/>
                <w:bCs/>
                <w:lang w:val="el-GR"/>
              </w:rPr>
              <w:t>41,63</w:t>
            </w:r>
          </w:p>
        </w:tc>
        <w:tc>
          <w:tcPr>
            <w:tcW w:w="2340" w:type="dxa"/>
            <w:tcBorders>
              <w:top w:val="nil"/>
              <w:left w:val="nil"/>
              <w:bottom w:val="single" w:sz="8" w:space="0" w:color="auto"/>
              <w:right w:val="single" w:sz="8" w:space="0" w:color="auto"/>
            </w:tcBorders>
            <w:shd w:val="clear" w:color="auto" w:fill="8496B0"/>
            <w:tcMar>
              <w:top w:w="0" w:type="dxa"/>
              <w:left w:w="108" w:type="dxa"/>
              <w:bottom w:w="0" w:type="dxa"/>
              <w:right w:w="108" w:type="dxa"/>
            </w:tcMar>
            <w:hideMark/>
          </w:tcPr>
          <w:p w14:paraId="6AE94985" w14:textId="77777777" w:rsidR="00486A9B" w:rsidRPr="00486A9B" w:rsidRDefault="00486A9B" w:rsidP="00486A9B"/>
          <w:p w14:paraId="12B674B8" w14:textId="77777777" w:rsidR="00486A9B" w:rsidRPr="00486A9B" w:rsidRDefault="00486A9B" w:rsidP="00486A9B">
            <w:r w:rsidRPr="00486A9B">
              <w:rPr>
                <w:b/>
                <w:bCs/>
                <w:lang w:val="el-GR"/>
              </w:rPr>
              <w:t>114,43</w:t>
            </w:r>
          </w:p>
        </w:tc>
      </w:tr>
    </w:tbl>
    <w:p w14:paraId="6802EF6B" w14:textId="77777777" w:rsidR="00486A9B" w:rsidRPr="00486A9B" w:rsidRDefault="00486A9B" w:rsidP="00486A9B">
      <w:pPr>
        <w:rPr>
          <w:lang w:val="el-GR"/>
        </w:rPr>
      </w:pPr>
      <w:r w:rsidRPr="00486A9B">
        <w:rPr>
          <w:u w:val="single"/>
          <w:lang w:val="el-GR"/>
        </w:rPr>
        <w:t>Συμπερασματικά</w:t>
      </w:r>
      <w:r w:rsidRPr="00486A9B">
        <w:rPr>
          <w:lang w:val="el-GR"/>
        </w:rPr>
        <w:t xml:space="preserve"> οι </w:t>
      </w:r>
      <w:r>
        <w:rPr>
          <w:lang w:val="el-GR"/>
        </w:rPr>
        <w:t>Συμβολαιογράφοι</w:t>
      </w:r>
      <w:r w:rsidRPr="00486A9B">
        <w:rPr>
          <w:lang w:val="el-GR"/>
        </w:rPr>
        <w:t xml:space="preserve"> θα λάβουν ειδοποιητήριο ΕΤΕΑΕΠ 114,43 ευρώ το μήνα (τακτική εισφορά και αναδρομική).</w:t>
      </w:r>
    </w:p>
    <w:p w14:paraId="53A7D27B" w14:textId="77777777" w:rsidR="00486A9B" w:rsidRPr="00486A9B" w:rsidRDefault="00486A9B" w:rsidP="00486A9B">
      <w:pPr>
        <w:rPr>
          <w:lang w:val="el-GR"/>
        </w:rPr>
      </w:pPr>
      <w:r w:rsidRPr="00486A9B">
        <w:rPr>
          <w:b/>
          <w:bCs/>
          <w:u w:val="single"/>
          <w:lang w:val="el-GR"/>
        </w:rPr>
        <w:t>5. Είμαι νέος ασφαλισμένος (πρώτη πενταετία) έχω διαφορά στις εισφορές:</w:t>
      </w:r>
    </w:p>
    <w:p w14:paraId="6842A720" w14:textId="77777777" w:rsidR="00486A9B" w:rsidRPr="00486A9B" w:rsidRDefault="00486A9B" w:rsidP="00486A9B">
      <w:r w:rsidRPr="00486A9B">
        <w:rPr>
          <w:b/>
          <w:bCs/>
          <w:lang w:val="el-GR"/>
        </w:rPr>
        <w:t>ΑΣΦΑΛΙΣΜΕΝΟΙ ΚΑΤΩ ΠΕΝΤΑΕΤΙΑΣ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027"/>
        <w:gridCol w:w="1764"/>
        <w:gridCol w:w="2419"/>
        <w:gridCol w:w="2145"/>
      </w:tblGrid>
      <w:tr w:rsidR="00486A9B" w:rsidRPr="00486A9B" w14:paraId="2985E27B" w14:textId="77777777" w:rsidTr="00486A9B">
        <w:tc>
          <w:tcPr>
            <w:tcW w:w="2027"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60126CC9" w14:textId="77777777" w:rsidR="00486A9B" w:rsidRPr="00486A9B" w:rsidRDefault="00486A9B" w:rsidP="00486A9B">
            <w:r w:rsidRPr="00486A9B">
              <w:rPr>
                <w:b/>
                <w:bCs/>
                <w:lang w:val="el-GR"/>
              </w:rPr>
              <w:t>ΕΛΑΧΙΣΤΗ ΒΑΣΗ</w:t>
            </w:r>
          </w:p>
        </w:tc>
        <w:tc>
          <w:tcPr>
            <w:tcW w:w="1764"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3DE44605" w14:textId="77777777" w:rsidR="00486A9B" w:rsidRPr="00486A9B" w:rsidRDefault="00486A9B" w:rsidP="00486A9B">
            <w:r w:rsidRPr="00486A9B">
              <w:rPr>
                <w:b/>
                <w:bCs/>
                <w:lang w:val="el-GR"/>
              </w:rPr>
              <w:t>ΕΠΙΚΟΥΡΙΚΗ 7% (ΑΠΑΝΤΕΣ ΠΛΗΝ ΥΓΕΙΟΝΟΜΙΚΩΝ)</w:t>
            </w:r>
          </w:p>
        </w:tc>
        <w:tc>
          <w:tcPr>
            <w:tcW w:w="2419"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795EEFFA" w14:textId="77777777" w:rsidR="00486A9B" w:rsidRPr="00486A9B" w:rsidRDefault="00486A9B" w:rsidP="00486A9B">
            <w:pPr>
              <w:rPr>
                <w:lang w:val="el-GR"/>
              </w:rPr>
            </w:pPr>
            <w:r w:rsidRPr="00486A9B">
              <w:rPr>
                <w:b/>
                <w:bCs/>
                <w:lang w:val="el-GR"/>
              </w:rPr>
              <w:t>ΠΡΟΝΟΙΑ 4% (ΔΙΚΗΓΟΡΟΙ ΑΘΗΝΩΝ, ΣΥΜΒ/ΦΟΙ, ΔΙΚ.ΕΠΙΜΕΛΗΤΕΣ, ΜΗΧΑΝΙΚΟΙ, ΥΓΕΙΟΝΟΜΙΚΟΙ)</w:t>
            </w:r>
          </w:p>
        </w:tc>
        <w:tc>
          <w:tcPr>
            <w:tcW w:w="2145"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14:paraId="4A293292" w14:textId="77777777" w:rsidR="00486A9B" w:rsidRPr="00486A9B" w:rsidRDefault="00486A9B" w:rsidP="00486A9B">
            <w:r w:rsidRPr="00486A9B">
              <w:rPr>
                <w:b/>
                <w:bCs/>
              </w:rPr>
              <w:t>ΣΥΝΟΛΟ</w:t>
            </w:r>
          </w:p>
        </w:tc>
      </w:tr>
      <w:tr w:rsidR="00486A9B" w:rsidRPr="00486A9B" w14:paraId="10561F54" w14:textId="77777777" w:rsidTr="00486A9B">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04E618D" w14:textId="77777777" w:rsidR="00486A9B" w:rsidRPr="00486A9B" w:rsidRDefault="00486A9B" w:rsidP="00486A9B">
            <w:r w:rsidRPr="00486A9B">
              <w:rPr>
                <w:b/>
                <w:bCs/>
              </w:rPr>
              <w:t>2017-8 (</w:t>
            </w:r>
            <w:r w:rsidRPr="00486A9B">
              <w:rPr>
                <w:b/>
                <w:bCs/>
                <w:lang w:val="el-GR"/>
              </w:rPr>
              <w:t>410,26</w:t>
            </w:r>
            <w:r w:rsidRPr="00486A9B">
              <w:rPr>
                <w:b/>
                <w:bCs/>
              </w:rPr>
              <w:t>)</w:t>
            </w:r>
          </w:p>
          <w:p w14:paraId="2A012209" w14:textId="77777777" w:rsidR="00486A9B" w:rsidRPr="00486A9B" w:rsidRDefault="00486A9B" w:rsidP="00486A9B">
            <w:r w:rsidRPr="00486A9B">
              <w:rPr>
                <w:b/>
                <w:bCs/>
                <w:lang w:val="el-GR"/>
              </w:rPr>
              <w:t>Ή 586,08 Χ 70%</w:t>
            </w:r>
          </w:p>
        </w:tc>
        <w:tc>
          <w:tcPr>
            <w:tcW w:w="1764"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08837583" w14:textId="77777777" w:rsidR="00486A9B" w:rsidRPr="00486A9B" w:rsidRDefault="00486A9B" w:rsidP="00486A9B"/>
          <w:p w14:paraId="363FC595" w14:textId="77777777" w:rsidR="00486A9B" w:rsidRPr="00486A9B" w:rsidRDefault="00486A9B" w:rsidP="00486A9B">
            <w:r w:rsidRPr="00486A9B">
              <w:rPr>
                <w:b/>
                <w:bCs/>
                <w:lang w:val="el-GR"/>
              </w:rPr>
              <w:t>28,71</w:t>
            </w:r>
          </w:p>
        </w:tc>
        <w:tc>
          <w:tcPr>
            <w:tcW w:w="241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78BB84D" w14:textId="77777777" w:rsidR="00486A9B" w:rsidRPr="00486A9B" w:rsidRDefault="00486A9B" w:rsidP="00486A9B"/>
          <w:p w14:paraId="562A2D46" w14:textId="77777777" w:rsidR="00486A9B" w:rsidRPr="00486A9B" w:rsidRDefault="00486A9B" w:rsidP="00486A9B">
            <w:r w:rsidRPr="00486A9B">
              <w:rPr>
                <w:b/>
                <w:bCs/>
                <w:lang w:val="el-GR"/>
              </w:rPr>
              <w:t>16,41</w:t>
            </w:r>
          </w:p>
        </w:tc>
        <w:tc>
          <w:tcPr>
            <w:tcW w:w="214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B17C553" w14:textId="77777777" w:rsidR="00486A9B" w:rsidRPr="00486A9B" w:rsidRDefault="00486A9B" w:rsidP="00486A9B"/>
          <w:p w14:paraId="49F9D466" w14:textId="77777777" w:rsidR="00486A9B" w:rsidRPr="00486A9B" w:rsidRDefault="00486A9B" w:rsidP="00486A9B">
            <w:r w:rsidRPr="00486A9B">
              <w:rPr>
                <w:b/>
                <w:bCs/>
                <w:lang w:val="el-GR"/>
              </w:rPr>
              <w:t>45,12</w:t>
            </w:r>
          </w:p>
        </w:tc>
      </w:tr>
      <w:tr w:rsidR="00486A9B" w:rsidRPr="00486A9B" w14:paraId="0B684D38" w14:textId="77777777" w:rsidTr="00486A9B">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2FC9DED" w14:textId="77777777" w:rsidR="00486A9B" w:rsidRPr="00486A9B" w:rsidRDefault="00486A9B" w:rsidP="00486A9B">
            <w:r w:rsidRPr="00486A9B">
              <w:rPr>
                <w:b/>
                <w:bCs/>
                <w:lang w:val="el-GR"/>
              </w:rPr>
              <w:t>2019 (455,00)</w:t>
            </w:r>
          </w:p>
          <w:p w14:paraId="404360B8" w14:textId="77777777" w:rsidR="00486A9B" w:rsidRPr="00486A9B" w:rsidRDefault="00486A9B" w:rsidP="00486A9B">
            <w:r w:rsidRPr="00486A9B">
              <w:rPr>
                <w:b/>
                <w:bCs/>
                <w:lang w:val="el-GR"/>
              </w:rPr>
              <w:t>Ή 650 Χ 70%</w:t>
            </w:r>
          </w:p>
        </w:tc>
        <w:tc>
          <w:tcPr>
            <w:tcW w:w="1764"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3E24197" w14:textId="77777777" w:rsidR="00486A9B" w:rsidRPr="00486A9B" w:rsidRDefault="00486A9B" w:rsidP="00486A9B"/>
          <w:p w14:paraId="49FB3A63" w14:textId="77777777" w:rsidR="00486A9B" w:rsidRPr="00486A9B" w:rsidRDefault="00486A9B" w:rsidP="00486A9B">
            <w:r w:rsidRPr="00486A9B">
              <w:rPr>
                <w:b/>
                <w:bCs/>
                <w:lang w:val="el-GR"/>
              </w:rPr>
              <w:t>31,85</w:t>
            </w:r>
          </w:p>
        </w:tc>
        <w:tc>
          <w:tcPr>
            <w:tcW w:w="241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5FBBD9C" w14:textId="77777777" w:rsidR="00486A9B" w:rsidRPr="00486A9B" w:rsidRDefault="00486A9B" w:rsidP="00486A9B"/>
          <w:p w14:paraId="65A5D4C0" w14:textId="77777777" w:rsidR="00486A9B" w:rsidRPr="00486A9B" w:rsidRDefault="00486A9B" w:rsidP="00486A9B">
            <w:r w:rsidRPr="00486A9B">
              <w:rPr>
                <w:b/>
                <w:bCs/>
                <w:lang w:val="el-GR"/>
              </w:rPr>
              <w:t>18,20</w:t>
            </w:r>
          </w:p>
        </w:tc>
        <w:tc>
          <w:tcPr>
            <w:tcW w:w="214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5DFA3BE" w14:textId="77777777" w:rsidR="00486A9B" w:rsidRPr="00486A9B" w:rsidRDefault="00486A9B" w:rsidP="00486A9B"/>
          <w:p w14:paraId="0F996946" w14:textId="77777777" w:rsidR="00486A9B" w:rsidRPr="00486A9B" w:rsidRDefault="00486A9B" w:rsidP="00486A9B">
            <w:r w:rsidRPr="00486A9B">
              <w:rPr>
                <w:b/>
                <w:bCs/>
                <w:lang w:val="el-GR"/>
              </w:rPr>
              <w:t>50,05</w:t>
            </w:r>
          </w:p>
        </w:tc>
      </w:tr>
      <w:tr w:rsidR="00486A9B" w:rsidRPr="00486A9B" w14:paraId="09638BA4" w14:textId="77777777" w:rsidTr="00486A9B">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B6705F5" w14:textId="77777777" w:rsidR="00486A9B" w:rsidRPr="00486A9B" w:rsidRDefault="00486A9B" w:rsidP="00486A9B">
            <w:r w:rsidRPr="00486A9B">
              <w:rPr>
                <w:b/>
                <w:bCs/>
                <w:lang w:val="el-GR"/>
              </w:rPr>
              <w:t>ΑΥΞΗΣΗ</w:t>
            </w:r>
          </w:p>
        </w:tc>
        <w:tc>
          <w:tcPr>
            <w:tcW w:w="1764"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A5C4CB6" w14:textId="77777777" w:rsidR="00486A9B" w:rsidRPr="00486A9B" w:rsidRDefault="00486A9B" w:rsidP="00486A9B">
            <w:r w:rsidRPr="00486A9B">
              <w:rPr>
                <w:b/>
                <w:bCs/>
                <w:lang w:val="el-GR"/>
              </w:rPr>
              <w:t>+3</w:t>
            </w:r>
            <w:r w:rsidRPr="00486A9B">
              <w:rPr>
                <w:b/>
                <w:bCs/>
              </w:rPr>
              <w:t>,</w:t>
            </w:r>
            <w:r w:rsidRPr="00486A9B">
              <w:rPr>
                <w:b/>
                <w:bCs/>
                <w:lang w:val="el-GR"/>
              </w:rPr>
              <w:t>14</w:t>
            </w:r>
          </w:p>
        </w:tc>
        <w:tc>
          <w:tcPr>
            <w:tcW w:w="241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1F7D19C" w14:textId="77777777" w:rsidR="00486A9B" w:rsidRPr="00486A9B" w:rsidRDefault="00486A9B" w:rsidP="00486A9B">
            <w:r w:rsidRPr="00486A9B">
              <w:rPr>
                <w:b/>
                <w:bCs/>
                <w:lang w:val="el-GR"/>
              </w:rPr>
              <w:t>+1,79</w:t>
            </w:r>
          </w:p>
        </w:tc>
        <w:tc>
          <w:tcPr>
            <w:tcW w:w="214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B31324D" w14:textId="77777777" w:rsidR="00486A9B" w:rsidRPr="00486A9B" w:rsidRDefault="00486A9B" w:rsidP="00486A9B">
            <w:r w:rsidRPr="00486A9B">
              <w:rPr>
                <w:b/>
                <w:bCs/>
                <w:lang w:val="el-GR"/>
              </w:rPr>
              <w:t>+4,93</w:t>
            </w:r>
          </w:p>
        </w:tc>
      </w:tr>
      <w:tr w:rsidR="00486A9B" w:rsidRPr="00486A9B" w14:paraId="7E5A9C69" w14:textId="77777777" w:rsidTr="00486A9B">
        <w:tc>
          <w:tcPr>
            <w:tcW w:w="2027"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4AF0D9FC" w14:textId="77777777" w:rsidR="00486A9B" w:rsidRPr="00486A9B" w:rsidRDefault="00486A9B" w:rsidP="00486A9B">
            <w:r w:rsidRPr="00486A9B">
              <w:rPr>
                <w:b/>
                <w:bCs/>
                <w:lang w:val="el-GR"/>
              </w:rPr>
              <w:t>ΑΝΑΔΡΟΜΙΚΑ (2017 -2018) ΕΠΊ 36 ΜΗΝΕΣ Ή ΑΠΟ ΕΙΔΟΠ.1</w:t>
            </w:r>
            <w:r w:rsidRPr="00486A9B">
              <w:rPr>
                <w:b/>
                <w:bCs/>
                <w:vertAlign w:val="superscript"/>
                <w:lang w:val="el-GR"/>
              </w:rPr>
              <w:t>ου</w:t>
            </w:r>
            <w:r w:rsidRPr="00486A9B">
              <w:rPr>
                <w:b/>
                <w:bCs/>
                <w:lang w:val="el-GR"/>
              </w:rPr>
              <w:t>2019 ΕΩΣ ΕΙΔΟΠ. 12</w:t>
            </w:r>
            <w:r w:rsidRPr="00486A9B">
              <w:rPr>
                <w:b/>
                <w:bCs/>
                <w:vertAlign w:val="superscript"/>
                <w:lang w:val="el-GR"/>
              </w:rPr>
              <w:t>ου</w:t>
            </w:r>
            <w:r w:rsidRPr="00486A9B">
              <w:rPr>
                <w:b/>
                <w:bCs/>
                <w:lang w:val="el-GR"/>
              </w:rPr>
              <w:t> 2021</w:t>
            </w:r>
          </w:p>
        </w:tc>
        <w:tc>
          <w:tcPr>
            <w:tcW w:w="1764"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4E7765C" w14:textId="77777777" w:rsidR="00486A9B" w:rsidRPr="00486A9B" w:rsidRDefault="00486A9B" w:rsidP="00486A9B"/>
          <w:p w14:paraId="0EB46AC9" w14:textId="77777777" w:rsidR="00486A9B" w:rsidRPr="00486A9B" w:rsidRDefault="00486A9B" w:rsidP="00486A9B"/>
          <w:p w14:paraId="3A715FCF" w14:textId="77777777" w:rsidR="00486A9B" w:rsidRPr="00486A9B" w:rsidRDefault="00486A9B" w:rsidP="00486A9B">
            <w:r w:rsidRPr="00486A9B">
              <w:rPr>
                <w:b/>
                <w:bCs/>
                <w:lang w:val="el-GR"/>
              </w:rPr>
              <w:t>+ 19,15</w:t>
            </w:r>
          </w:p>
        </w:tc>
        <w:tc>
          <w:tcPr>
            <w:tcW w:w="2419"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A756A48" w14:textId="77777777" w:rsidR="00486A9B" w:rsidRPr="00486A9B" w:rsidRDefault="00486A9B" w:rsidP="00486A9B"/>
          <w:p w14:paraId="757B1D13" w14:textId="77777777" w:rsidR="00486A9B" w:rsidRPr="00486A9B" w:rsidRDefault="00486A9B" w:rsidP="00486A9B"/>
          <w:p w14:paraId="0F1768B4" w14:textId="77777777" w:rsidR="00486A9B" w:rsidRPr="00486A9B" w:rsidRDefault="00486A9B" w:rsidP="00486A9B">
            <w:r w:rsidRPr="00486A9B">
              <w:rPr>
                <w:b/>
                <w:bCs/>
                <w:lang w:val="el-GR"/>
              </w:rPr>
              <w:t>+10,94</w:t>
            </w:r>
          </w:p>
        </w:tc>
        <w:tc>
          <w:tcPr>
            <w:tcW w:w="214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0186C2E" w14:textId="77777777" w:rsidR="00486A9B" w:rsidRPr="00486A9B" w:rsidRDefault="00486A9B" w:rsidP="00486A9B"/>
          <w:p w14:paraId="13FAC953" w14:textId="77777777" w:rsidR="00486A9B" w:rsidRPr="00486A9B" w:rsidRDefault="00486A9B" w:rsidP="00486A9B"/>
          <w:p w14:paraId="170A39DD" w14:textId="77777777" w:rsidR="00486A9B" w:rsidRPr="00486A9B" w:rsidRDefault="00486A9B" w:rsidP="00486A9B">
            <w:r w:rsidRPr="00486A9B">
              <w:rPr>
                <w:b/>
                <w:bCs/>
                <w:lang w:val="el-GR"/>
              </w:rPr>
              <w:t>+30,09</w:t>
            </w:r>
          </w:p>
        </w:tc>
      </w:tr>
      <w:tr w:rsidR="00486A9B" w:rsidRPr="00486A9B" w14:paraId="086C1C2E" w14:textId="77777777" w:rsidTr="00946854">
        <w:trPr>
          <w:trHeight w:val="60"/>
        </w:trPr>
        <w:tc>
          <w:tcPr>
            <w:tcW w:w="2027"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14:paraId="752F7322" w14:textId="77777777" w:rsidR="00486A9B" w:rsidRPr="00486A9B" w:rsidRDefault="00486A9B" w:rsidP="00486A9B">
            <w:r w:rsidRPr="00486A9B">
              <w:rPr>
                <w:b/>
                <w:bCs/>
                <w:lang w:val="el-GR"/>
              </w:rPr>
              <w:t>ΣΥΝΟΛΟ ΕΙΔΟΠΟΙΗΤΗΡΙΟΥ</w:t>
            </w:r>
          </w:p>
        </w:tc>
        <w:tc>
          <w:tcPr>
            <w:tcW w:w="1764"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3860DD75" w14:textId="77777777" w:rsidR="00486A9B" w:rsidRPr="00486A9B" w:rsidRDefault="00486A9B" w:rsidP="00486A9B">
            <w:r w:rsidRPr="00486A9B">
              <w:rPr>
                <w:b/>
                <w:bCs/>
                <w:lang w:val="el-GR"/>
              </w:rPr>
              <w:t>(31,85+19,15)</w:t>
            </w:r>
          </w:p>
          <w:p w14:paraId="771C9FF3" w14:textId="77777777" w:rsidR="00486A9B" w:rsidRPr="00486A9B" w:rsidRDefault="00486A9B" w:rsidP="00486A9B">
            <w:r w:rsidRPr="00486A9B">
              <w:rPr>
                <w:b/>
                <w:bCs/>
                <w:lang w:val="el-GR"/>
              </w:rPr>
              <w:t>51,00</w:t>
            </w:r>
          </w:p>
        </w:tc>
        <w:tc>
          <w:tcPr>
            <w:tcW w:w="2419"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2031344D" w14:textId="77777777" w:rsidR="00486A9B" w:rsidRPr="00486A9B" w:rsidRDefault="00486A9B" w:rsidP="00486A9B">
            <w:r w:rsidRPr="00486A9B">
              <w:rPr>
                <w:b/>
                <w:bCs/>
                <w:lang w:val="el-GR"/>
              </w:rPr>
              <w:t>(26+15,63)</w:t>
            </w:r>
          </w:p>
          <w:p w14:paraId="1AB02DBD" w14:textId="77777777" w:rsidR="00486A9B" w:rsidRPr="00486A9B" w:rsidRDefault="00486A9B" w:rsidP="00486A9B">
            <w:r w:rsidRPr="00486A9B">
              <w:rPr>
                <w:b/>
                <w:bCs/>
                <w:lang w:val="el-GR"/>
              </w:rPr>
              <w:t>29,14</w:t>
            </w:r>
          </w:p>
        </w:tc>
        <w:tc>
          <w:tcPr>
            <w:tcW w:w="2145" w:type="dxa"/>
            <w:tcBorders>
              <w:top w:val="nil"/>
              <w:left w:val="nil"/>
              <w:bottom w:val="single" w:sz="8" w:space="0" w:color="auto"/>
              <w:right w:val="single" w:sz="8" w:space="0" w:color="auto"/>
            </w:tcBorders>
            <w:shd w:val="clear" w:color="auto" w:fill="ACB9CA"/>
            <w:tcMar>
              <w:top w:w="0" w:type="dxa"/>
              <w:left w:w="108" w:type="dxa"/>
              <w:bottom w:w="0" w:type="dxa"/>
              <w:right w:w="108" w:type="dxa"/>
            </w:tcMar>
            <w:hideMark/>
          </w:tcPr>
          <w:p w14:paraId="73D7753D" w14:textId="77777777" w:rsidR="00486A9B" w:rsidRPr="00486A9B" w:rsidRDefault="00486A9B" w:rsidP="00486A9B"/>
          <w:p w14:paraId="2BB98D3D" w14:textId="77777777" w:rsidR="00486A9B" w:rsidRPr="00486A9B" w:rsidRDefault="00486A9B" w:rsidP="00486A9B">
            <w:r w:rsidRPr="00486A9B">
              <w:rPr>
                <w:b/>
                <w:bCs/>
                <w:lang w:val="el-GR"/>
              </w:rPr>
              <w:t>80,14</w:t>
            </w:r>
          </w:p>
        </w:tc>
      </w:tr>
    </w:tbl>
    <w:p w14:paraId="3681BAF9" w14:textId="77777777" w:rsidR="00486A9B" w:rsidRPr="00486A9B" w:rsidRDefault="00486A9B" w:rsidP="00486A9B"/>
    <w:p w14:paraId="29EEA705" w14:textId="77777777" w:rsidR="00486A9B" w:rsidRPr="00486A9B" w:rsidRDefault="00486A9B" w:rsidP="00486A9B">
      <w:pPr>
        <w:rPr>
          <w:lang w:val="el-GR"/>
        </w:rPr>
      </w:pPr>
      <w:r w:rsidRPr="00486A9B">
        <w:rPr>
          <w:u w:val="single"/>
          <w:lang w:val="el-GR"/>
        </w:rPr>
        <w:t>Συμπερασματικά </w:t>
      </w:r>
      <w:r w:rsidRPr="00486A9B">
        <w:rPr>
          <w:lang w:val="el-GR"/>
        </w:rPr>
        <w:t xml:space="preserve">οι </w:t>
      </w:r>
      <w:r>
        <w:rPr>
          <w:lang w:val="el-GR"/>
        </w:rPr>
        <w:t>Συμβολαιογράφοι</w:t>
      </w:r>
      <w:r w:rsidRPr="00486A9B">
        <w:rPr>
          <w:lang w:val="el-GR"/>
        </w:rPr>
        <w:t xml:space="preserve"> θα λάβουν ειδοποιητήριο ΕΤΕΑΕΠ 80,14 ευρώ.</w:t>
      </w:r>
      <w:r w:rsidRPr="00486A9B">
        <w:rPr>
          <w:lang w:val="el-GR"/>
        </w:rPr>
        <w:br/>
      </w:r>
      <w:r w:rsidRPr="00486A9B">
        <w:rPr>
          <w:b/>
          <w:bCs/>
          <w:u w:val="single"/>
          <w:lang w:val="el-GR"/>
        </w:rPr>
        <w:t>ΣΗΜΕΙΩΣΗ:</w:t>
      </w:r>
      <w:r w:rsidRPr="00486A9B">
        <w:rPr>
          <w:b/>
          <w:bCs/>
          <w:u w:val="single"/>
        </w:rPr>
        <w:t> </w:t>
      </w:r>
      <w:r w:rsidRPr="00486A9B">
        <w:rPr>
          <w:lang w:val="el-GR"/>
        </w:rPr>
        <w:t>Θυμίζουμε πως η έκπτωση αυτή της πρώτης πενταετίας αποτελεί ασφαλιστική οφειλή για τον ΝΈΟ ασφαλισμένο που</w:t>
      </w:r>
      <w:r w:rsidRPr="00486A9B">
        <w:t>  </w:t>
      </w:r>
      <w:r w:rsidRPr="00486A9B">
        <w:rPr>
          <w:lang w:val="el-GR"/>
        </w:rPr>
        <w:t>εξοφλείται εξ ολοκλήρου μέχρι και τη συμπλήρωση δεκαπέντε (15)</w:t>
      </w:r>
      <w:r w:rsidRPr="00486A9B">
        <w:rPr>
          <w:lang w:val="el-GR"/>
        </w:rPr>
        <w:br/>
        <w:t>ετών ασφάλισης (παρ. 3 άρθρου 39Α ν.4387/16) .</w:t>
      </w:r>
    </w:p>
    <w:p w14:paraId="438A2603" w14:textId="77777777" w:rsidR="00486A9B" w:rsidRPr="00486A9B" w:rsidRDefault="00486A9B" w:rsidP="00486A9B">
      <w:pPr>
        <w:rPr>
          <w:lang w:val="el-GR"/>
        </w:rPr>
      </w:pPr>
    </w:p>
    <w:p w14:paraId="25E10799" w14:textId="77777777" w:rsidR="00486A9B" w:rsidRPr="00486A9B" w:rsidRDefault="00486A9B" w:rsidP="00486A9B">
      <w:pPr>
        <w:rPr>
          <w:lang w:val="el-GR"/>
        </w:rPr>
      </w:pPr>
      <w:r>
        <w:rPr>
          <w:b/>
          <w:bCs/>
          <w:u w:val="single"/>
          <w:lang w:val="el-GR"/>
        </w:rPr>
        <w:t>6</w:t>
      </w:r>
      <w:r w:rsidRPr="00486A9B">
        <w:rPr>
          <w:b/>
          <w:bCs/>
          <w:u w:val="single"/>
          <w:lang w:val="el-GR"/>
        </w:rPr>
        <w:t>. Γιατί εκδίδονται 3 ειδοποιητήρια και δεν περιλαμβάνονται στην πλατφόρμα εισφορών ΕΦΚΑ</w:t>
      </w:r>
    </w:p>
    <w:p w14:paraId="44ED4F80" w14:textId="77777777" w:rsidR="00486A9B" w:rsidRPr="00486A9B" w:rsidRDefault="00486A9B" w:rsidP="00486A9B">
      <w:pPr>
        <w:rPr>
          <w:lang w:val="el-GR"/>
        </w:rPr>
      </w:pPr>
      <w:r w:rsidRPr="00486A9B">
        <w:rPr>
          <w:lang w:val="el-GR"/>
        </w:rPr>
        <w:t>Είναι ανεξήγητο και δημιουργεί ερωτηματικά. Είχε ζητηθεί από τους Επιστημονικούς Συλλόγους από το Υπουργείο, πλην όμως δεν εισακούστηκε. Προσθέτει γραφειοκρατία και ταλαιπωρία και οικονομική επιβάρυνση στους ασφαλισμένους, ενώ δεν μπορεί να υπάρχει συμψηφισμός εισφορών από τα γραμμάτια. Η δικαιολογία που δίδεται ότι είναι διαφορετικοί φορείς δεν ευσταθεί, καθόσον και στο ειδοποιητήριο ΕΦΚΑ εισπράττεται εισφορά υπέρ ΕΟΠΥΥ (υγεία σε είδος).</w:t>
      </w:r>
    </w:p>
    <w:p w14:paraId="5F0FAFF3" w14:textId="77777777" w:rsidR="00486A9B" w:rsidRPr="00486A9B" w:rsidRDefault="00486A9B" w:rsidP="00486A9B">
      <w:pPr>
        <w:rPr>
          <w:lang w:val="el-GR"/>
        </w:rPr>
      </w:pPr>
      <w:r>
        <w:rPr>
          <w:b/>
          <w:bCs/>
          <w:u w:val="single"/>
          <w:lang w:val="el-GR"/>
        </w:rPr>
        <w:t>7</w:t>
      </w:r>
      <w:r w:rsidRPr="00486A9B">
        <w:rPr>
          <w:b/>
          <w:bCs/>
          <w:u w:val="single"/>
          <w:lang w:val="el-GR"/>
        </w:rPr>
        <w:t>. Πως βλέπω τις εισφορές μου</w:t>
      </w:r>
    </w:p>
    <w:p w14:paraId="77DDDDEF" w14:textId="77777777" w:rsidR="00486A9B" w:rsidRDefault="00486A9B" w:rsidP="00486A9B">
      <w:pPr>
        <w:rPr>
          <w:lang w:val="el-GR"/>
        </w:rPr>
      </w:pPr>
      <w:r w:rsidRPr="00486A9B">
        <w:rPr>
          <w:lang w:val="el-GR"/>
        </w:rPr>
        <w:t xml:space="preserve">Από την ιστοσελίδα του ΕΤΕΑΕΠ (εισφορές μη μισθωτών) και ακολουθώ την ίδια διαδικασία με κωδικούς </w:t>
      </w:r>
      <w:r w:rsidR="00A95AE0">
        <w:t>taxis</w:t>
      </w:r>
      <w:r w:rsidRPr="00486A9B">
        <w:rPr>
          <w:lang w:val="el-GR"/>
        </w:rPr>
        <w:t xml:space="preserve"> όπως και στον ΕΦΚΑ (πανομοιότυπη πλατφόρμα).</w:t>
      </w:r>
    </w:p>
    <w:p w14:paraId="1597FFCE" w14:textId="77777777" w:rsidR="00946854" w:rsidRDefault="00946854" w:rsidP="00486A9B">
      <w:pPr>
        <w:rPr>
          <w:lang w:val="el-GR"/>
        </w:rPr>
      </w:pPr>
    </w:p>
    <w:p w14:paraId="033D3D8F" w14:textId="77777777" w:rsidR="005F5EF6" w:rsidRDefault="00946854" w:rsidP="00486A9B">
      <w:pPr>
        <w:rPr>
          <w:lang w:val="en-US"/>
        </w:rPr>
      </w:pPr>
      <w:hyperlink r:id="rId4" w:history="1">
        <w:r w:rsidRPr="00721378">
          <w:rPr>
            <w:rStyle w:val="-"/>
            <w:lang w:val="en-US"/>
          </w:rPr>
          <w:t>https</w:t>
        </w:r>
        <w:r w:rsidRPr="00721378">
          <w:rPr>
            <w:rStyle w:val="-"/>
            <w:lang w:val="el-GR"/>
          </w:rPr>
          <w:t>://</w:t>
        </w:r>
        <w:r w:rsidRPr="00721378">
          <w:rPr>
            <w:rStyle w:val="-"/>
            <w:lang w:val="en-US"/>
          </w:rPr>
          <w:t>www</w:t>
        </w:r>
        <w:r w:rsidRPr="00721378">
          <w:rPr>
            <w:rStyle w:val="-"/>
            <w:lang w:val="el-GR"/>
          </w:rPr>
          <w:t>.</w:t>
        </w:r>
        <w:proofErr w:type="spellStart"/>
        <w:r w:rsidRPr="00721378">
          <w:rPr>
            <w:rStyle w:val="-"/>
            <w:lang w:val="en-US"/>
          </w:rPr>
          <w:t>eteaep</w:t>
        </w:r>
        <w:proofErr w:type="spellEnd"/>
        <w:r w:rsidRPr="00721378">
          <w:rPr>
            <w:rStyle w:val="-"/>
            <w:lang w:val="el-GR"/>
          </w:rPr>
          <w:t>.</w:t>
        </w:r>
        <w:r w:rsidRPr="00721378">
          <w:rPr>
            <w:rStyle w:val="-"/>
            <w:lang w:val="en-US"/>
          </w:rPr>
          <w:t>gov</w:t>
        </w:r>
        <w:r w:rsidRPr="00721378">
          <w:rPr>
            <w:rStyle w:val="-"/>
            <w:lang w:val="el-GR"/>
          </w:rPr>
          <w:t>.</w:t>
        </w:r>
        <w:r w:rsidRPr="00721378">
          <w:rPr>
            <w:rStyle w:val="-"/>
            <w:lang w:val="en-US"/>
          </w:rPr>
          <w:t>gr</w:t>
        </w:r>
        <w:r w:rsidRPr="00721378">
          <w:rPr>
            <w:rStyle w:val="-"/>
            <w:lang w:val="el-GR"/>
          </w:rPr>
          <w:t>/</w:t>
        </w:r>
        <w:r w:rsidRPr="00721378">
          <w:rPr>
            <w:rStyle w:val="-"/>
            <w:lang w:val="en-US"/>
          </w:rPr>
          <w:t>web</w:t>
        </w:r>
        <w:r w:rsidRPr="00721378">
          <w:rPr>
            <w:rStyle w:val="-"/>
            <w:lang w:val="el-GR"/>
          </w:rPr>
          <w:t>/</w:t>
        </w:r>
      </w:hyperlink>
    </w:p>
    <w:p w14:paraId="5F6F4182" w14:textId="77777777" w:rsidR="00946854" w:rsidRDefault="00946854" w:rsidP="00486A9B">
      <w:pPr>
        <w:rPr>
          <w:lang w:val="el-GR"/>
        </w:rPr>
      </w:pPr>
    </w:p>
    <w:p w14:paraId="4A30F8A9" w14:textId="77777777" w:rsidR="00946854" w:rsidRPr="00946854" w:rsidRDefault="00946854" w:rsidP="00486A9B">
      <w:pPr>
        <w:rPr>
          <w:lang w:val="el-GR"/>
        </w:rPr>
      </w:pPr>
      <w:r>
        <w:rPr>
          <w:noProof/>
          <w:lang w:val="el-GR"/>
        </w:rPr>
        <w:drawing>
          <wp:inline distT="0" distB="0" distL="0" distR="0" wp14:anchorId="16D21A3F" wp14:editId="1545B1DD">
            <wp:extent cx="5731510" cy="3635375"/>
            <wp:effectExtent l="0" t="0" r="2540" b="3175"/>
            <wp:docPr id="3" name="Εικόνα 3" descr="Εικόνα που περιέχει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eaep eisod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635375"/>
                    </a:xfrm>
                    <a:prstGeom prst="rect">
                      <a:avLst/>
                    </a:prstGeom>
                  </pic:spPr>
                </pic:pic>
              </a:graphicData>
            </a:graphic>
          </wp:inline>
        </w:drawing>
      </w:r>
    </w:p>
    <w:p w14:paraId="53C05378" w14:textId="77777777" w:rsidR="00946854" w:rsidRDefault="00946854" w:rsidP="00486A9B">
      <w:pPr>
        <w:rPr>
          <w:b/>
          <w:lang w:val="el-GR"/>
        </w:rPr>
      </w:pPr>
    </w:p>
    <w:p w14:paraId="144F07E6" w14:textId="77777777" w:rsidR="00946854" w:rsidRDefault="00946854" w:rsidP="00486A9B">
      <w:pPr>
        <w:rPr>
          <w:b/>
          <w:lang w:val="el-GR"/>
        </w:rPr>
      </w:pPr>
    </w:p>
    <w:p w14:paraId="36EECC36" w14:textId="77777777" w:rsidR="00946854" w:rsidRDefault="00946854" w:rsidP="00486A9B">
      <w:pPr>
        <w:rPr>
          <w:b/>
          <w:lang w:val="el-GR"/>
        </w:rPr>
      </w:pPr>
    </w:p>
    <w:p w14:paraId="021CFC4D" w14:textId="77777777" w:rsidR="00946854" w:rsidRDefault="00946854" w:rsidP="00486A9B">
      <w:pPr>
        <w:rPr>
          <w:b/>
          <w:lang w:val="el-GR"/>
        </w:rPr>
      </w:pPr>
    </w:p>
    <w:p w14:paraId="2D07D0CB" w14:textId="77777777" w:rsidR="00946854" w:rsidRDefault="00946854" w:rsidP="00486A9B">
      <w:pPr>
        <w:rPr>
          <w:b/>
          <w:lang w:val="el-GR"/>
        </w:rPr>
      </w:pPr>
    </w:p>
    <w:p w14:paraId="1FE1C5C8" w14:textId="77777777" w:rsidR="00946854" w:rsidRDefault="00946854" w:rsidP="00486A9B">
      <w:pPr>
        <w:rPr>
          <w:b/>
          <w:lang w:val="el-GR"/>
        </w:rPr>
      </w:pPr>
    </w:p>
    <w:p w14:paraId="336D3F75" w14:textId="77777777" w:rsidR="00A95AE0" w:rsidRPr="00A95AE0" w:rsidRDefault="00A95AE0" w:rsidP="00486A9B">
      <w:pPr>
        <w:rPr>
          <w:b/>
          <w:lang w:val="el-GR"/>
        </w:rPr>
      </w:pPr>
      <w:r w:rsidRPr="00A95AE0">
        <w:rPr>
          <w:b/>
          <w:lang w:val="el-GR"/>
        </w:rPr>
        <w:t>8. Πως είναι το ειδοποιητήριο:</w:t>
      </w:r>
    </w:p>
    <w:p w14:paraId="01282F05" w14:textId="77777777" w:rsidR="00A95AE0" w:rsidRDefault="00A95AE0" w:rsidP="00486A9B">
      <w:pPr>
        <w:rPr>
          <w:lang w:val="el-GR"/>
        </w:rPr>
      </w:pPr>
      <w:r>
        <w:rPr>
          <w:noProof/>
          <w:lang w:val="el-GR"/>
        </w:rPr>
        <w:drawing>
          <wp:inline distT="0" distB="0" distL="0" distR="0" wp14:anchorId="2DC52FFF" wp14:editId="00CF12C5">
            <wp:extent cx="5731510" cy="8115300"/>
            <wp:effectExtent l="0" t="0" r="2540" b="0"/>
            <wp:docPr id="1" name="Εικόνα 1" descr="Εικόνα που περιέχει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ep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115300"/>
                    </a:xfrm>
                    <a:prstGeom prst="rect">
                      <a:avLst/>
                    </a:prstGeom>
                  </pic:spPr>
                </pic:pic>
              </a:graphicData>
            </a:graphic>
          </wp:inline>
        </w:drawing>
      </w:r>
    </w:p>
    <w:p w14:paraId="7DA0792D" w14:textId="77777777" w:rsidR="00A95AE0" w:rsidRDefault="00A95AE0" w:rsidP="00486A9B">
      <w:pPr>
        <w:rPr>
          <w:lang w:val="el-GR"/>
        </w:rPr>
      </w:pPr>
      <w:r>
        <w:rPr>
          <w:lang w:val="el-GR"/>
        </w:rPr>
        <w:lastRenderedPageBreak/>
        <w:t>Το ειδοποιητήριο 2</w:t>
      </w:r>
      <w:r w:rsidRPr="00A95AE0">
        <w:rPr>
          <w:vertAlign w:val="superscript"/>
          <w:lang w:val="el-GR"/>
        </w:rPr>
        <w:t>ου</w:t>
      </w:r>
      <w:r>
        <w:rPr>
          <w:lang w:val="el-GR"/>
        </w:rPr>
        <w:t xml:space="preserve"> 2019 έχει την εισφορά του μήνα και την εισφορά του 1</w:t>
      </w:r>
      <w:r w:rsidRPr="00A95AE0">
        <w:rPr>
          <w:vertAlign w:val="superscript"/>
          <w:lang w:val="el-GR"/>
        </w:rPr>
        <w:t>ου</w:t>
      </w:r>
      <w:r>
        <w:rPr>
          <w:lang w:val="el-GR"/>
        </w:rPr>
        <w:t xml:space="preserve"> 2019 στα αναδρομικά, με ποσόν 64,47 ευρώ (γιατί διαφέρει; Διότι έχει υπολογιστεί με κατώτατο μισθό 586,08Χ11%).</w:t>
      </w:r>
    </w:p>
    <w:p w14:paraId="1055B38E" w14:textId="77777777" w:rsidR="00A95AE0" w:rsidRPr="005F5EF6" w:rsidRDefault="00A95AE0" w:rsidP="00486A9B">
      <w:pPr>
        <w:rPr>
          <w:lang w:val="el-GR"/>
        </w:rPr>
      </w:pPr>
      <w:r w:rsidRPr="005F5EF6">
        <w:rPr>
          <w:b/>
          <w:lang w:val="el-GR"/>
        </w:rPr>
        <w:t>Πως το πληρώνω</w:t>
      </w:r>
      <w:r w:rsidR="005F5EF6" w:rsidRPr="005F5EF6">
        <w:rPr>
          <w:b/>
          <w:lang w:val="el-GR"/>
        </w:rPr>
        <w:t>.</w:t>
      </w:r>
      <w:r w:rsidR="005F5EF6">
        <w:rPr>
          <w:lang w:val="el-GR"/>
        </w:rPr>
        <w:t xml:space="preserve"> Στο κάτω μέρος υπάρχει κωδικός πληρωμής: </w:t>
      </w:r>
      <w:r w:rsidR="005F5EF6">
        <w:t>RF</w:t>
      </w:r>
      <w:r w:rsidR="005F5EF6">
        <w:rPr>
          <w:lang w:val="el-GR"/>
        </w:rPr>
        <w:t>………………</w:t>
      </w:r>
      <w:r w:rsidR="005F5EF6" w:rsidRPr="005F5EF6">
        <w:rPr>
          <w:lang w:val="el-GR"/>
        </w:rPr>
        <w:t xml:space="preserve"> </w:t>
      </w:r>
      <w:r w:rsidR="005F5EF6">
        <w:rPr>
          <w:lang w:val="el-GR"/>
        </w:rPr>
        <w:t>Προς το παρόν δεν υπάρχει επιλογή στις Τράπεζες, αλλά τις επόμενες ημέρες θα υπάρξει ελπίζουμε.</w:t>
      </w:r>
    </w:p>
    <w:p w14:paraId="42D60582" w14:textId="77777777" w:rsidR="005F5EF6" w:rsidRPr="005F5EF6" w:rsidRDefault="005F5EF6" w:rsidP="00486A9B">
      <w:pPr>
        <w:rPr>
          <w:b/>
          <w:lang w:val="el-GR"/>
        </w:rPr>
      </w:pPr>
      <w:r w:rsidRPr="005F5EF6">
        <w:rPr>
          <w:b/>
          <w:lang w:val="el-GR"/>
        </w:rPr>
        <w:t>9. Έχω άλλη υποχρέωση:</w:t>
      </w:r>
    </w:p>
    <w:p w14:paraId="279E2B8A" w14:textId="77777777" w:rsidR="005F5EF6" w:rsidRDefault="005F5EF6" w:rsidP="00486A9B">
      <w:pPr>
        <w:rPr>
          <w:lang w:val="el-GR"/>
        </w:rPr>
      </w:pPr>
      <w:r>
        <w:rPr>
          <w:lang w:val="el-GR"/>
        </w:rPr>
        <w:t xml:space="preserve">Βεβαίως υπάρχουν οι δόσεις εκκαθάρισης (τα αναδρομικά 2017 και 2018) τα οποία πληρώνουμε σε 36 δόσεις. </w:t>
      </w:r>
    </w:p>
    <w:p w14:paraId="79F90267" w14:textId="77777777" w:rsidR="005F5EF6" w:rsidRDefault="005F5EF6" w:rsidP="00486A9B">
      <w:pPr>
        <w:rPr>
          <w:b/>
          <w:lang w:val="el-GR"/>
        </w:rPr>
      </w:pPr>
      <w:r w:rsidRPr="005F5EF6">
        <w:rPr>
          <w:b/>
          <w:lang w:val="el-GR"/>
        </w:rPr>
        <w:t>10. Μπορώ με μία πληρωμή να τα πληρώσω όλα;</w:t>
      </w:r>
    </w:p>
    <w:p w14:paraId="60DE2F3D" w14:textId="77777777" w:rsidR="00946854" w:rsidRDefault="00946854" w:rsidP="00486A9B">
      <w:pPr>
        <w:rPr>
          <w:lang w:val="el-GR"/>
        </w:rPr>
      </w:pPr>
      <w:r>
        <w:t>a</w:t>
      </w:r>
      <w:r w:rsidR="005F5EF6" w:rsidRPr="005F5EF6">
        <w:rPr>
          <w:lang w:val="el-GR"/>
        </w:rPr>
        <w:t xml:space="preserve">. </w:t>
      </w:r>
      <w:proofErr w:type="spellStart"/>
      <w:r w:rsidR="005F5EF6" w:rsidRPr="005F5EF6">
        <w:rPr>
          <w:lang w:val="el-GR"/>
        </w:rPr>
        <w:t>Κατ'αρχήν</w:t>
      </w:r>
      <w:proofErr w:type="spellEnd"/>
      <w:r w:rsidR="005F5EF6" w:rsidRPr="005F5EF6">
        <w:rPr>
          <w:lang w:val="el-GR"/>
        </w:rPr>
        <w:t xml:space="preserve"> έχουμε ένα μοναδικό κωδικό πληρωμής στα πρότυπα ΕΦΚΑ (</w:t>
      </w:r>
      <w:r w:rsidR="005F5EF6" w:rsidRPr="005F5EF6">
        <w:t>RF</w:t>
      </w:r>
      <w:r w:rsidR="005F5EF6" w:rsidRPr="005F5EF6">
        <w:rPr>
          <w:lang w:val="el-GR"/>
        </w:rPr>
        <w:t>.</w:t>
      </w:r>
      <w:proofErr w:type="gramStart"/>
      <w:r w:rsidR="005F5EF6" w:rsidRPr="005F5EF6">
        <w:rPr>
          <w:lang w:val="el-GR"/>
        </w:rPr>
        <w:t>.....</w:t>
      </w:r>
      <w:proofErr w:type="gramEnd"/>
      <w:r w:rsidR="005F5EF6" w:rsidRPr="005F5EF6">
        <w:rPr>
          <w:lang w:val="el-GR"/>
        </w:rPr>
        <w:t xml:space="preserve">) οπότε αρκεί μια μηνιαία πληρωμή για το σύνολο των υποχρεώσεών μας. </w:t>
      </w:r>
      <w:r>
        <w:t>b</w:t>
      </w:r>
      <w:r w:rsidR="005F5EF6" w:rsidRPr="005F5EF6">
        <w:rPr>
          <w:lang w:val="el-GR"/>
        </w:rPr>
        <w:t>) Ανοίγουμε τη σελίδα Οφειλές (πάνω δεξιά ηλεκτρονικές υπηρεσίες) και πληρώνουμε το ποσόν που αναγράφεται ως σύνολο δόσεων εκκαθάρισης και μηνιαίας εισφοράς (</w:t>
      </w:r>
      <w:proofErr w:type="spellStart"/>
      <w:r w:rsidR="005F5EF6" w:rsidRPr="005F5EF6">
        <w:rPr>
          <w:lang w:val="el-GR"/>
        </w:rPr>
        <w:t>ενπροκειμένω</w:t>
      </w:r>
      <w:proofErr w:type="spellEnd"/>
      <w:r w:rsidR="005F5EF6" w:rsidRPr="005F5EF6">
        <w:rPr>
          <w:lang w:val="el-GR"/>
        </w:rPr>
        <w:t xml:space="preserve"> 178,95 ευρώ). </w:t>
      </w:r>
    </w:p>
    <w:p w14:paraId="46C720E2" w14:textId="77777777" w:rsidR="00946854" w:rsidRDefault="00946854" w:rsidP="00486A9B">
      <w:pPr>
        <w:rPr>
          <w:lang w:val="el-GR"/>
        </w:rPr>
      </w:pPr>
      <w:r>
        <w:rPr>
          <w:noProof/>
          <w:lang w:val="el-GR"/>
        </w:rPr>
        <w:drawing>
          <wp:inline distT="0" distB="0" distL="0" distR="0" wp14:anchorId="230FCDD5" wp14:editId="30583C0C">
            <wp:extent cx="5731510" cy="3808730"/>
            <wp:effectExtent l="0" t="0" r="2540" b="1270"/>
            <wp:docPr id="2" name="Εικόνα 2" descr="Εικόνα που περιέχει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eaep ofeile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08730"/>
                    </a:xfrm>
                    <a:prstGeom prst="rect">
                      <a:avLst/>
                    </a:prstGeom>
                  </pic:spPr>
                </pic:pic>
              </a:graphicData>
            </a:graphic>
          </wp:inline>
        </w:drawing>
      </w:r>
    </w:p>
    <w:p w14:paraId="60456341" w14:textId="77777777" w:rsidR="00946854" w:rsidRDefault="00946854" w:rsidP="00486A9B">
      <w:pPr>
        <w:rPr>
          <w:lang w:val="el-GR"/>
        </w:rPr>
      </w:pPr>
    </w:p>
    <w:p w14:paraId="60FD96B1" w14:textId="77777777" w:rsidR="005F5EF6" w:rsidRPr="005F5EF6" w:rsidRDefault="00946854" w:rsidP="00486A9B">
      <w:pPr>
        <w:rPr>
          <w:lang w:val="el-GR"/>
        </w:rPr>
      </w:pPr>
      <w:r>
        <w:t>c</w:t>
      </w:r>
      <w:r w:rsidRPr="00946854">
        <w:rPr>
          <w:lang w:val="el-GR"/>
        </w:rPr>
        <w:t>.</w:t>
      </w:r>
      <w:r w:rsidR="005F5EF6" w:rsidRPr="005F5EF6">
        <w:rPr>
          <w:lang w:val="el-GR"/>
        </w:rPr>
        <w:t xml:space="preserve"> Προσέχ</w:t>
      </w:r>
      <w:r>
        <w:rPr>
          <w:lang w:val="el-GR"/>
        </w:rPr>
        <w:t>ουμε</w:t>
      </w:r>
      <w:r w:rsidR="005F5EF6" w:rsidRPr="005F5EF6">
        <w:rPr>
          <w:lang w:val="el-GR"/>
        </w:rPr>
        <w:t xml:space="preserve"> να μην αφή</w:t>
      </w:r>
      <w:r>
        <w:rPr>
          <w:lang w:val="el-GR"/>
        </w:rPr>
        <w:t>νουμε</w:t>
      </w:r>
      <w:r w:rsidR="005F5EF6" w:rsidRPr="005F5EF6">
        <w:rPr>
          <w:lang w:val="el-GR"/>
        </w:rPr>
        <w:t xml:space="preserve"> ποτέ απλήρωτες δόσεις εκκαθάρισης, καθόσον αυτές έχουν τόκο (8% ετησίως).</w:t>
      </w:r>
      <w:r w:rsidR="005F5EF6" w:rsidRPr="005F5EF6">
        <w:t> </w:t>
      </w:r>
      <w:r w:rsidR="005F5EF6" w:rsidRPr="005F5EF6">
        <w:rPr>
          <w:lang w:val="el-GR"/>
        </w:rPr>
        <w:br/>
      </w:r>
      <w:r w:rsidR="005F5EF6" w:rsidRPr="00946854">
        <w:rPr>
          <w:b/>
          <w:lang w:val="el-GR"/>
        </w:rPr>
        <w:t>Γενικώς κάθε πληρωμή μας εξοφλεί κατά σειρά:</w:t>
      </w:r>
      <w:r w:rsidR="005F5EF6" w:rsidRPr="00946854">
        <w:rPr>
          <w:b/>
        </w:rPr>
        <w:t> </w:t>
      </w:r>
      <w:r w:rsidR="005F5EF6" w:rsidRPr="00946854">
        <w:rPr>
          <w:b/>
          <w:lang w:val="el-GR"/>
        </w:rPr>
        <w:br/>
      </w:r>
      <w:r>
        <w:t>A</w:t>
      </w:r>
      <w:r w:rsidR="005F5EF6" w:rsidRPr="005F5EF6">
        <w:rPr>
          <w:lang w:val="el-GR"/>
        </w:rPr>
        <w:t xml:space="preserve">. Προσαυξήσεις εκπρόθεσμων καταβολών </w:t>
      </w:r>
      <w:proofErr w:type="spellStart"/>
      <w:r w:rsidR="005F5EF6" w:rsidRPr="005F5EF6">
        <w:rPr>
          <w:lang w:val="el-GR"/>
        </w:rPr>
        <w:t>απαιτηθεισών</w:t>
      </w:r>
      <w:proofErr w:type="spellEnd"/>
      <w:r w:rsidR="005F5EF6" w:rsidRPr="005F5EF6">
        <w:rPr>
          <w:lang w:val="el-GR"/>
        </w:rPr>
        <w:t xml:space="preserve"> δόσεων εκκαθάρισης</w:t>
      </w:r>
      <w:r w:rsidR="005F5EF6" w:rsidRPr="005F5EF6">
        <w:rPr>
          <w:lang w:val="el-GR"/>
        </w:rPr>
        <w:br/>
      </w:r>
      <w:r>
        <w:t>B</w:t>
      </w:r>
      <w:r w:rsidR="005F5EF6" w:rsidRPr="005F5EF6">
        <w:rPr>
          <w:lang w:val="el-GR"/>
        </w:rPr>
        <w:t>. Απαιτούμενες δόσεις 2017</w:t>
      </w:r>
      <w:r w:rsidR="005F5EF6" w:rsidRPr="005F5EF6">
        <w:rPr>
          <w:lang w:val="el-GR"/>
        </w:rPr>
        <w:br/>
      </w:r>
      <w:r>
        <w:rPr>
          <w:lang w:val="el-GR"/>
        </w:rPr>
        <w:t>Γ</w:t>
      </w:r>
      <w:r w:rsidR="005F5EF6" w:rsidRPr="005F5EF6">
        <w:rPr>
          <w:lang w:val="el-GR"/>
        </w:rPr>
        <w:t>. Απαιτούμενες δόσεις 2018</w:t>
      </w:r>
      <w:r w:rsidR="005F5EF6" w:rsidRPr="005F5EF6">
        <w:rPr>
          <w:lang w:val="el-GR"/>
        </w:rPr>
        <w:br/>
      </w:r>
      <w:r>
        <w:rPr>
          <w:lang w:val="el-GR"/>
        </w:rPr>
        <w:t>Δ</w:t>
      </w:r>
      <w:r w:rsidR="005F5EF6" w:rsidRPr="005F5EF6">
        <w:rPr>
          <w:lang w:val="el-GR"/>
        </w:rPr>
        <w:t>. Τυχόν χρεωστικά υπόλοιπα</w:t>
      </w:r>
      <w:r w:rsidR="005F5EF6" w:rsidRPr="005F5EF6">
        <w:rPr>
          <w:lang w:val="el-GR"/>
        </w:rPr>
        <w:br/>
      </w:r>
      <w:r>
        <w:rPr>
          <w:lang w:val="el-GR"/>
        </w:rPr>
        <w:t>Ε</w:t>
      </w:r>
      <w:r w:rsidR="005F5EF6" w:rsidRPr="005F5EF6">
        <w:rPr>
          <w:lang w:val="el-GR"/>
        </w:rPr>
        <w:t>. Παλαιότερες τρέχουσες εισφορές</w:t>
      </w:r>
      <w:r w:rsidR="005F5EF6" w:rsidRPr="005F5EF6">
        <w:rPr>
          <w:lang w:val="el-GR"/>
        </w:rPr>
        <w:br/>
      </w:r>
      <w:proofErr w:type="spellStart"/>
      <w:r>
        <w:rPr>
          <w:lang w:val="el-GR"/>
        </w:rPr>
        <w:t>Στ</w:t>
      </w:r>
      <w:proofErr w:type="spellEnd"/>
      <w:r w:rsidR="005F5EF6" w:rsidRPr="005F5EF6">
        <w:rPr>
          <w:lang w:val="el-GR"/>
        </w:rPr>
        <w:t xml:space="preserve">. </w:t>
      </w:r>
      <w:r w:rsidR="005F5EF6" w:rsidRPr="00946854">
        <w:rPr>
          <w:lang w:val="el-GR"/>
        </w:rPr>
        <w:t>Τρέχουσα εισφορά</w:t>
      </w:r>
    </w:p>
    <w:p w14:paraId="7B8AFB95" w14:textId="77777777" w:rsidR="005F5EF6" w:rsidRPr="00946854" w:rsidRDefault="00946854" w:rsidP="00486A9B">
      <w:pPr>
        <w:rPr>
          <w:b/>
          <w:lang w:val="el-GR"/>
        </w:rPr>
      </w:pPr>
      <w:r w:rsidRPr="00946854">
        <w:rPr>
          <w:b/>
          <w:lang w:val="el-GR"/>
        </w:rPr>
        <w:t xml:space="preserve">11. Τι προθεσμία πληρωμής υπάρχει: </w:t>
      </w:r>
    </w:p>
    <w:p w14:paraId="1DE289ED" w14:textId="77777777" w:rsidR="00946854" w:rsidRPr="00486A9B" w:rsidRDefault="00946854" w:rsidP="00486A9B">
      <w:pPr>
        <w:rPr>
          <w:lang w:val="el-GR"/>
        </w:rPr>
      </w:pPr>
      <w:r>
        <w:rPr>
          <w:lang w:val="el-GR"/>
        </w:rPr>
        <w:lastRenderedPageBreak/>
        <w:t>Για τις δόσεις εκκαθάρισης 29.3.2019 και για το ειδοποιητήριο 12.4.2019.  Εφόσον επιλέξουμε μια πληρωμή καλό είναι να γίνει μέχρι 29.3.19. Οι προθεσμίες είναι ασφυκτικά μικρές ενόψει πρώτης εφαρμογής και χωρίς ενημέρωση και οδηγίες</w:t>
      </w:r>
      <w:r w:rsidRPr="00946854">
        <w:rPr>
          <w:lang w:val="el-GR"/>
        </w:rPr>
        <w:t xml:space="preserve"> </w:t>
      </w:r>
      <w:r>
        <w:rPr>
          <w:lang w:val="el-GR"/>
        </w:rPr>
        <w:t>και κατά συνέπεια θα πρέπει άμεσα να χορηγηθεί παράταση και ενημέρωση</w:t>
      </w:r>
      <w:r w:rsidR="00DF083F">
        <w:rPr>
          <w:lang w:val="el-GR"/>
        </w:rPr>
        <w:t xml:space="preserve"> των ασφαλισμένων.</w:t>
      </w:r>
      <w:bookmarkStart w:id="0" w:name="_GoBack"/>
      <w:bookmarkEnd w:id="0"/>
    </w:p>
    <w:sectPr w:rsidR="00946854" w:rsidRPr="00486A9B" w:rsidSect="00946854">
      <w:pgSz w:w="11906" w:h="16838"/>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9B"/>
    <w:rsid w:val="000411C8"/>
    <w:rsid w:val="00222EC9"/>
    <w:rsid w:val="00486A9B"/>
    <w:rsid w:val="005F5EF6"/>
    <w:rsid w:val="00946854"/>
    <w:rsid w:val="00A53D19"/>
    <w:rsid w:val="00A95AE0"/>
    <w:rsid w:val="00D17949"/>
    <w:rsid w:val="00DF083F"/>
    <w:rsid w:val="00F83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C639"/>
  <w15:chartTrackingRefBased/>
  <w15:docId w15:val="{7AB67EE8-3735-4BA3-BFF7-F42731CB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5AE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95AE0"/>
    <w:rPr>
      <w:rFonts w:ascii="Segoe UI" w:hAnsi="Segoe UI" w:cs="Segoe UI"/>
      <w:sz w:val="18"/>
      <w:szCs w:val="18"/>
    </w:rPr>
  </w:style>
  <w:style w:type="character" w:styleId="-">
    <w:name w:val="Hyperlink"/>
    <w:basedOn w:val="a0"/>
    <w:uiPriority w:val="99"/>
    <w:unhideWhenUsed/>
    <w:rsid w:val="00946854"/>
    <w:rPr>
      <w:color w:val="0563C1" w:themeColor="hyperlink"/>
      <w:u w:val="single"/>
    </w:rPr>
  </w:style>
  <w:style w:type="character" w:styleId="a4">
    <w:name w:val="Unresolved Mention"/>
    <w:basedOn w:val="a0"/>
    <w:uiPriority w:val="99"/>
    <w:semiHidden/>
    <w:unhideWhenUsed/>
    <w:rsid w:val="0094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s://www.eteaep.gov.gr/web/"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1022</Words>
  <Characters>5831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Koutsolampros</dc:creator>
  <cp:keywords/>
  <dc:description/>
  <cp:lastModifiedBy>Andreas Koutsolampros</cp:lastModifiedBy>
  <cp:revision>1</cp:revision>
  <dcterms:created xsi:type="dcterms:W3CDTF">2019-03-18T07:11:00Z</dcterms:created>
  <dcterms:modified xsi:type="dcterms:W3CDTF">2019-03-18T07:56:00Z</dcterms:modified>
</cp:coreProperties>
</file>