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283"/>
        <w:gridCol w:w="4820"/>
      </w:tblGrid>
      <w:tr w:rsidR="00AC68AB" w14:paraId="139ECA47" w14:textId="77777777" w:rsidTr="007E42BC">
        <w:trPr>
          <w:trHeight w:val="993"/>
        </w:trPr>
        <w:tc>
          <w:tcPr>
            <w:tcW w:w="4323" w:type="dxa"/>
            <w:hideMark/>
          </w:tcPr>
          <w:p w14:paraId="19E9D784" w14:textId="2290CDDF" w:rsidR="00AC68AB" w:rsidRPr="00AC68AB" w:rsidRDefault="006F0EAB" w:rsidP="00456ED1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5987DB05" wp14:editId="02C6E020">
                  <wp:extent cx="579120" cy="5715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3AFD9C93" w14:textId="77777777" w:rsidR="00AC68AB" w:rsidRPr="00AC68AB" w:rsidRDefault="00AC68AB" w:rsidP="00456ED1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2E6C8108" w14:textId="1A8F763C" w:rsidR="00AC68AB" w:rsidRPr="004C7B26" w:rsidRDefault="00E414D1" w:rsidP="00F84555">
            <w:pPr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ΣΧΕΔΙΟ </w:t>
            </w:r>
            <w:r w:rsidR="00D42AE5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</w:t>
            </w:r>
            <w:r w:rsidR="00D42AE5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Ω</w:t>
            </w:r>
            <w:r w:rsidR="00D42AE5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ΣΗ</w:t>
            </w: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Σ</w:t>
            </w:r>
            <w:bookmarkStart w:id="0" w:name="_GoBack"/>
            <w:bookmarkEnd w:id="0"/>
          </w:p>
        </w:tc>
      </w:tr>
      <w:tr w:rsidR="00AC68AB" w14:paraId="522EDA1F" w14:textId="77777777" w:rsidTr="007E42BC">
        <w:trPr>
          <w:trHeight w:val="236"/>
        </w:trPr>
        <w:tc>
          <w:tcPr>
            <w:tcW w:w="4323" w:type="dxa"/>
            <w:hideMark/>
          </w:tcPr>
          <w:p w14:paraId="4DC2CC60" w14:textId="77777777" w:rsidR="004C7B26" w:rsidRDefault="004C7B26" w:rsidP="002965C5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AC68AB">
              <w:rPr>
                <w:rFonts w:ascii="Palatino Linotype" w:hAnsi="Palatino Linotype"/>
                <w:sz w:val="18"/>
              </w:rPr>
              <w:t xml:space="preserve">ΕΛΛΗΝΙΚΗ ΔΗΜΟΚΡΑΤΙΑ </w:t>
            </w:r>
          </w:p>
          <w:p w14:paraId="45275CC3" w14:textId="77777777" w:rsidR="00AC68AB" w:rsidRPr="00AC68AB" w:rsidRDefault="00AC68AB" w:rsidP="002965C5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AC68AB">
              <w:rPr>
                <w:rFonts w:ascii="Palatino Linotype" w:hAnsi="Palatino Linotype"/>
                <w:sz w:val="18"/>
              </w:rPr>
              <w:t xml:space="preserve">ΥΠΟΥΡΓΕΙΟ ΔΙΚΑΙΟΣΥΝΗΣ </w:t>
            </w:r>
          </w:p>
        </w:tc>
        <w:tc>
          <w:tcPr>
            <w:tcW w:w="283" w:type="dxa"/>
          </w:tcPr>
          <w:p w14:paraId="121E6F2C" w14:textId="77777777" w:rsidR="00AC68AB" w:rsidRPr="00AC68AB" w:rsidRDefault="00AC68AB" w:rsidP="00456ED1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349BA5A7" w14:textId="36B0B97C" w:rsidR="007E42BC" w:rsidRPr="00D53718" w:rsidRDefault="00193297" w:rsidP="00193297">
            <w:pPr>
              <w:spacing w:after="0" w:line="240" w:lineRule="auto"/>
              <w:ind w:right="-70"/>
              <w:rPr>
                <w:rFonts w:ascii="Palatino Linotype" w:hAnsi="Palatino Linotype"/>
              </w:rPr>
            </w:pPr>
            <w:r w:rsidRPr="00AC68AB">
              <w:rPr>
                <w:rFonts w:ascii="Palatino Linotype" w:hAnsi="Palatino Linotype"/>
              </w:rPr>
              <w:t>Αθήνα</w:t>
            </w:r>
            <w:r w:rsidRPr="00AC68AB">
              <w:rPr>
                <w:rFonts w:ascii="Palatino Linotype" w:hAnsi="Palatino Linotype"/>
                <w:lang w:val="en-US"/>
              </w:rPr>
              <w:t>,</w:t>
            </w:r>
            <w:r w:rsidR="00D523AA">
              <w:rPr>
                <w:rFonts w:ascii="Palatino Linotype" w:hAnsi="Palatino Linotype"/>
              </w:rPr>
              <w:t xml:space="preserve"> </w:t>
            </w:r>
            <w:r w:rsidR="00F84555">
              <w:rPr>
                <w:rFonts w:ascii="Palatino Linotype" w:hAnsi="Palatino Linotype"/>
              </w:rPr>
              <w:t xml:space="preserve">8 </w:t>
            </w:r>
            <w:r w:rsidR="00D523AA">
              <w:rPr>
                <w:rFonts w:ascii="Palatino Linotype" w:hAnsi="Palatino Linotype"/>
              </w:rPr>
              <w:t>Μαρτίου</w:t>
            </w:r>
            <w:r w:rsidR="00724A02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202</w:t>
            </w:r>
            <w:r w:rsidR="00492985">
              <w:rPr>
                <w:rFonts w:ascii="Palatino Linotype" w:hAnsi="Palatino Linotype"/>
              </w:rPr>
              <w:t>1</w:t>
            </w:r>
          </w:p>
        </w:tc>
      </w:tr>
      <w:tr w:rsidR="00AC68AB" w14:paraId="1FEC38D5" w14:textId="77777777" w:rsidTr="007E42BC">
        <w:trPr>
          <w:trHeight w:val="236"/>
        </w:trPr>
        <w:tc>
          <w:tcPr>
            <w:tcW w:w="4323" w:type="dxa"/>
            <w:hideMark/>
          </w:tcPr>
          <w:p w14:paraId="6A72CB06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 w:rsidRPr="00AC68AB">
              <w:rPr>
                <w:rFonts w:ascii="Palatino Linotype" w:hAnsi="Palatino Linotype"/>
                <w:b/>
                <w:sz w:val="18"/>
              </w:rPr>
              <w:t xml:space="preserve">ΣΥΝΤΟΝΙΣΤΙΚΗ ΕΠΙΤΡΟΠΗ </w:t>
            </w:r>
          </w:p>
          <w:p w14:paraId="50E3975F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 w:rsidRPr="00AC68AB">
              <w:rPr>
                <w:rFonts w:ascii="Palatino Linotype" w:hAnsi="Palatino Linotype"/>
                <w:b/>
                <w:sz w:val="18"/>
              </w:rPr>
              <w:t>ΣΥΜΒΟΛΑΙΟΓΡΑΦΙΚΩΝ</w:t>
            </w:r>
          </w:p>
          <w:p w14:paraId="4632EA75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 w:rsidRPr="00AC68AB">
              <w:rPr>
                <w:rFonts w:ascii="Palatino Linotype" w:hAnsi="Palatino Linotype"/>
                <w:b/>
                <w:sz w:val="18"/>
              </w:rPr>
              <w:t>ΣΥΛΛΟΓΩΝ ΕΛΛΑΔΟΣ</w:t>
            </w:r>
          </w:p>
          <w:p w14:paraId="43F3FAC2" w14:textId="77777777" w:rsid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AC68AB">
              <w:rPr>
                <w:rFonts w:ascii="Palatino Linotype" w:hAnsi="Palatino Linotype"/>
                <w:sz w:val="18"/>
              </w:rPr>
              <w:t>-----------</w:t>
            </w:r>
          </w:p>
          <w:p w14:paraId="30939EFB" w14:textId="77777777" w:rsidR="00F84555" w:rsidRPr="00AC68AB" w:rsidRDefault="00F84555" w:rsidP="00F84555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 w:rsidRPr="00AC68AB"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 w:rsidRPr="00AC68AB">
              <w:rPr>
                <w:rFonts w:ascii="Palatino Linotype" w:hAnsi="Palatino Linotype"/>
                <w:sz w:val="16"/>
              </w:rPr>
              <w:t>/</w:t>
            </w:r>
            <w:proofErr w:type="spellStart"/>
            <w:r w:rsidRPr="00AC68AB"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</w:t>
            </w:r>
            <w:r w:rsidRPr="00AC68AB">
              <w:rPr>
                <w:rFonts w:ascii="Palatino Linotype" w:hAnsi="Palatino Linotype"/>
                <w:sz w:val="16"/>
              </w:rPr>
              <w:t>: Γ. Γενναδίου 4 - Τ.Κ.106 78, Αθήνα</w:t>
            </w:r>
          </w:p>
          <w:p w14:paraId="2A46C559" w14:textId="77777777" w:rsidR="00F84555" w:rsidRPr="00AC68AB" w:rsidRDefault="00F84555" w:rsidP="00F84555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AC68AB">
              <w:rPr>
                <w:rFonts w:ascii="Palatino Linotype" w:hAnsi="Palatino Linotype"/>
                <w:sz w:val="16"/>
              </w:rPr>
              <w:t>Τηλέφωνα</w:t>
            </w:r>
            <w:r w:rsidRPr="00F84555">
              <w:rPr>
                <w:rFonts w:ascii="Palatino Linotype" w:hAnsi="Palatino Linotype"/>
                <w:sz w:val="16"/>
                <w:lang w:val="en-US"/>
              </w:rPr>
              <w:t xml:space="preserve"> 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r w:rsidRPr="00AC68AB">
              <w:rPr>
                <w:rFonts w:ascii="Palatino Linotype" w:hAnsi="Palatino Linotype"/>
                <w:sz w:val="16"/>
                <w:lang w:val="fr-FR"/>
              </w:rPr>
              <w:t>: 210-3307450,60,70,80,90</w:t>
            </w:r>
          </w:p>
          <w:p w14:paraId="780DA9B7" w14:textId="77777777" w:rsidR="00F84555" w:rsidRPr="00AC68AB" w:rsidRDefault="00F84555" w:rsidP="00F84555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AC68AB">
              <w:rPr>
                <w:rFonts w:ascii="Palatino Linotype" w:hAnsi="Palatino Linotype"/>
                <w:sz w:val="16"/>
                <w:lang w:val="fr-FR"/>
              </w:rPr>
              <w:t>FAX</w:t>
            </w:r>
            <w:r w:rsidRPr="00F84555">
              <w:rPr>
                <w:rFonts w:ascii="Palatino Linotype" w:hAnsi="Palatino Linotype"/>
                <w:sz w:val="16"/>
                <w:lang w:val="en-US"/>
              </w:rPr>
              <w:t xml:space="preserve">            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r w:rsidRPr="00AC68AB">
              <w:rPr>
                <w:rFonts w:ascii="Palatino Linotype" w:hAnsi="Palatino Linotype"/>
                <w:sz w:val="16"/>
                <w:lang w:val="fr-FR"/>
              </w:rPr>
              <w:t>: 210-3848335</w:t>
            </w:r>
          </w:p>
          <w:p w14:paraId="3F34CF23" w14:textId="77777777" w:rsidR="00F84555" w:rsidRPr="00AC68AB" w:rsidRDefault="00F84555" w:rsidP="00F84555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AC68AB"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AC68AB">
              <w:rPr>
                <w:rFonts w:ascii="Palatino Linotype" w:hAnsi="Palatino Linotype"/>
                <w:sz w:val="16"/>
                <w:lang w:val="fr-FR"/>
              </w:rPr>
              <w:t>-</w:t>
            </w:r>
            <w:r w:rsidRPr="00AC68AB"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F84555">
              <w:rPr>
                <w:rFonts w:ascii="Palatino Linotype" w:hAnsi="Palatino Linotype"/>
                <w:sz w:val="16"/>
                <w:lang w:val="en-US"/>
              </w:rPr>
              <w:t xml:space="preserve">        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r w:rsidRPr="00AC68AB">
              <w:rPr>
                <w:rFonts w:ascii="Palatino Linotype" w:hAnsi="Palatino Linotype"/>
                <w:sz w:val="16"/>
                <w:lang w:val="fr-FR"/>
              </w:rPr>
              <w:t xml:space="preserve">: </w:t>
            </w:r>
            <w:proofErr w:type="spellStart"/>
            <w:r w:rsidRPr="00AC68AB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Pr="00AC68AB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Pr="00AC68AB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Pr="00AC68AB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Pr="00AC68AB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2A596744" w14:textId="67FB3CB7" w:rsidR="00F84555" w:rsidRPr="00AC68AB" w:rsidRDefault="00F84555" w:rsidP="00F84555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AC68AB">
              <w:rPr>
                <w:rFonts w:ascii="Palatino Linotype" w:hAnsi="Palatino Linotype"/>
                <w:sz w:val="14"/>
                <w:szCs w:val="14"/>
              </w:rPr>
              <w:t>Πληροφορίες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 w:rsidRPr="00AC68AB">
              <w:rPr>
                <w:rFonts w:ascii="Palatino Linotype" w:hAnsi="Palatino Linotype"/>
                <w:sz w:val="16"/>
              </w:rPr>
              <w:t>: Θεόδωρος Χαλκίδης</w:t>
            </w:r>
          </w:p>
        </w:tc>
        <w:tc>
          <w:tcPr>
            <w:tcW w:w="283" w:type="dxa"/>
          </w:tcPr>
          <w:p w14:paraId="42DB7099" w14:textId="77777777" w:rsidR="00AC68AB" w:rsidRPr="00AC68AB" w:rsidRDefault="00AC68AB" w:rsidP="00456ED1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777B6FB3" w14:textId="68314C7C" w:rsidR="00AC68AB" w:rsidRPr="00AC246E" w:rsidRDefault="00193297" w:rsidP="00193297">
            <w:pPr>
              <w:spacing w:after="0" w:line="240" w:lineRule="auto"/>
              <w:ind w:right="-70"/>
              <w:rPr>
                <w:rFonts w:ascii="Palatino Linotype" w:hAnsi="Palatino Linotype"/>
                <w:b/>
              </w:rPr>
            </w:pPr>
            <w:proofErr w:type="spellStart"/>
            <w:r w:rsidRPr="00AC68AB">
              <w:rPr>
                <w:rFonts w:ascii="Palatino Linotype" w:hAnsi="Palatino Linotype"/>
              </w:rPr>
              <w:t>Αριθμ</w:t>
            </w:r>
            <w:proofErr w:type="spellEnd"/>
            <w:r w:rsidRPr="00AC68AB">
              <w:rPr>
                <w:rFonts w:ascii="Palatino Linotype" w:hAnsi="Palatino Linotype"/>
              </w:rPr>
              <w:t xml:space="preserve">. </w:t>
            </w:r>
            <w:proofErr w:type="spellStart"/>
            <w:r w:rsidRPr="00AC68AB">
              <w:rPr>
                <w:rFonts w:ascii="Palatino Linotype" w:hAnsi="Palatino Linotype"/>
              </w:rPr>
              <w:t>πρωτ</w:t>
            </w:r>
            <w:proofErr w:type="spellEnd"/>
            <w:r w:rsidRPr="00AC68AB">
              <w:rPr>
                <w:rFonts w:ascii="Palatino Linotype" w:hAnsi="Palatino Linotype"/>
              </w:rPr>
              <w:t>.</w:t>
            </w:r>
            <w:r w:rsidR="002946EF">
              <w:rPr>
                <w:rFonts w:ascii="Palatino Linotype" w:hAnsi="Palatino Linotype"/>
              </w:rPr>
              <w:t xml:space="preserve"> 75</w:t>
            </w:r>
          </w:p>
          <w:p w14:paraId="5579293A" w14:textId="77777777" w:rsidR="00AC68AB" w:rsidRPr="00AC68AB" w:rsidRDefault="00AC68AB" w:rsidP="00456ED1">
            <w:pPr>
              <w:spacing w:after="0" w:line="240" w:lineRule="auto"/>
              <w:ind w:right="-70"/>
              <w:rPr>
                <w:rFonts w:ascii="Palatino Linotype" w:hAnsi="Palatino Linotype"/>
                <w:b/>
                <w:sz w:val="20"/>
              </w:rPr>
            </w:pPr>
          </w:p>
          <w:p w14:paraId="242F7202" w14:textId="77777777" w:rsidR="00AC68AB" w:rsidRDefault="00ED51FD" w:rsidP="00456ED1">
            <w:pPr>
              <w:spacing w:after="0" w:line="240" w:lineRule="auto"/>
              <w:ind w:right="-68"/>
              <w:rPr>
                <w:rFonts w:ascii="Palatino Linotype" w:hAnsi="Palatino Linotype" w:cs="Lucida Sans Unicode"/>
                <w:b/>
                <w:u w:val="single"/>
              </w:rPr>
            </w:pPr>
            <w:r>
              <w:rPr>
                <w:rFonts w:ascii="Palatino Linotype" w:hAnsi="Palatino Linotype" w:cs="Lucida Sans Unicode"/>
                <w:b/>
                <w:u w:val="single"/>
              </w:rPr>
              <w:t>ΠΡΟΣ</w:t>
            </w:r>
          </w:p>
          <w:p w14:paraId="4B358BB2" w14:textId="77777777" w:rsidR="00ED51FD" w:rsidRDefault="00ED51FD" w:rsidP="00456ED1">
            <w:pPr>
              <w:spacing w:after="0" w:line="240" w:lineRule="auto"/>
              <w:ind w:right="-68"/>
              <w:rPr>
                <w:rFonts w:ascii="Palatino Linotype" w:hAnsi="Palatino Linotype" w:cs="Lucida Sans Unicode"/>
                <w:b/>
                <w:u w:val="single"/>
              </w:rPr>
            </w:pPr>
          </w:p>
          <w:p w14:paraId="28077D2F" w14:textId="77777777" w:rsidR="00ED51FD" w:rsidRDefault="00D42AE5" w:rsidP="0046738A">
            <w:pPr>
              <w:spacing w:after="0" w:line="240" w:lineRule="auto"/>
              <w:ind w:right="-68"/>
              <w:rPr>
                <w:rFonts w:ascii="Palatino Linotype" w:hAnsi="Palatino Linotype" w:cs="Lucida Sans Unicode"/>
                <w:b/>
              </w:rPr>
            </w:pPr>
            <w:r>
              <w:rPr>
                <w:rFonts w:ascii="Palatino Linotype" w:hAnsi="Palatino Linotype" w:cs="Lucida Sans Unicode"/>
                <w:b/>
              </w:rPr>
              <w:t xml:space="preserve">Όλους τους </w:t>
            </w:r>
            <w:r w:rsidR="00F84555">
              <w:rPr>
                <w:rFonts w:ascii="Palatino Linotype" w:hAnsi="Palatino Linotype" w:cs="Lucida Sans Unicode"/>
                <w:b/>
              </w:rPr>
              <w:t>κ.κ. Προέδρους της ΣΕΣΣΕ</w:t>
            </w:r>
          </w:p>
          <w:p w14:paraId="603D04C1" w14:textId="197F0C08" w:rsidR="00F84555" w:rsidRPr="00ED51FD" w:rsidRDefault="00F84555" w:rsidP="0046738A">
            <w:pPr>
              <w:spacing w:after="0" w:line="240" w:lineRule="auto"/>
              <w:ind w:right="-68"/>
              <w:rPr>
                <w:rFonts w:ascii="Palatino Linotype" w:hAnsi="Palatino Linotype" w:cs="Lucida Sans Unicode"/>
                <w:b/>
              </w:rPr>
            </w:pPr>
            <w:r>
              <w:rPr>
                <w:rFonts w:ascii="Palatino Linotype" w:hAnsi="Palatino Linotype" w:cs="Lucida Sans Unicode"/>
                <w:b/>
              </w:rPr>
              <w:t>Όλα τα μέλη του ΔΣ του ΣΣΕΑΠΑΔ</w:t>
            </w:r>
          </w:p>
        </w:tc>
      </w:tr>
      <w:tr w:rsidR="00AC68AB" w:rsidRPr="003D2CDB" w14:paraId="052CE9AD" w14:textId="77777777" w:rsidTr="007E42BC">
        <w:trPr>
          <w:trHeight w:val="899"/>
        </w:trPr>
        <w:tc>
          <w:tcPr>
            <w:tcW w:w="4323" w:type="dxa"/>
            <w:hideMark/>
          </w:tcPr>
          <w:p w14:paraId="7F76E04C" w14:textId="73E4EE37" w:rsidR="00AC68AB" w:rsidRPr="004C7B26" w:rsidRDefault="00AC68AB" w:rsidP="00456ED1">
            <w:pPr>
              <w:spacing w:after="0" w:line="240" w:lineRule="auto"/>
              <w:ind w:right="-68"/>
              <w:jc w:val="both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283" w:type="dxa"/>
          </w:tcPr>
          <w:p w14:paraId="0E87AED6" w14:textId="77777777" w:rsidR="00AC68AB" w:rsidRPr="004C7B26" w:rsidRDefault="00AC68AB" w:rsidP="00456ED1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4820" w:type="dxa"/>
            <w:hideMark/>
          </w:tcPr>
          <w:p w14:paraId="064AF886" w14:textId="77777777" w:rsidR="00D13073" w:rsidRPr="003D2CDB" w:rsidRDefault="00D13073" w:rsidP="003D2CDB">
            <w:pPr>
              <w:spacing w:after="0" w:line="240" w:lineRule="auto"/>
              <w:ind w:right="497"/>
              <w:rPr>
                <w:rFonts w:ascii="Palatino Linotype" w:hAnsi="Palatino Linotype" w:cs="Tahoma"/>
                <w:bCs/>
              </w:rPr>
            </w:pPr>
          </w:p>
        </w:tc>
      </w:tr>
    </w:tbl>
    <w:p w14:paraId="42549C65" w14:textId="19949D66" w:rsidR="000027AB" w:rsidRPr="003C1AC2" w:rsidRDefault="005B579E" w:rsidP="00D8035C">
      <w:pPr>
        <w:spacing w:before="120" w:after="120" w:line="360" w:lineRule="auto"/>
        <w:ind w:left="-284" w:right="-51"/>
        <w:jc w:val="both"/>
        <w:rPr>
          <w:rFonts w:ascii="Palatino Linotype" w:hAnsi="Palatino Linotype" w:cs="Tahoma"/>
          <w:b/>
          <w:bCs/>
          <w:lang w:eastAsia="x-none"/>
        </w:rPr>
      </w:pPr>
      <w:r w:rsidRPr="00333BEF">
        <w:rPr>
          <w:rFonts w:ascii="Palatino Linotype" w:hAnsi="Palatino Linotype" w:cs="Tahoma"/>
          <w:b/>
          <w:spacing w:val="40"/>
          <w:u w:val="single"/>
          <w:lang w:eastAsia="x-none"/>
        </w:rPr>
        <w:t>ΘΕΜΑ</w:t>
      </w:r>
      <w:r w:rsidRPr="00333BEF">
        <w:rPr>
          <w:rFonts w:ascii="Palatino Linotype" w:hAnsi="Palatino Linotype" w:cs="Tahoma"/>
          <w:lang w:eastAsia="x-none"/>
        </w:rPr>
        <w:t xml:space="preserve">: </w:t>
      </w:r>
      <w:r w:rsidR="003C1AC2" w:rsidRPr="003C1AC2">
        <w:rPr>
          <w:rFonts w:ascii="Palatino Linotype" w:hAnsi="Palatino Linotype" w:cs="Tahoma"/>
          <w:lang w:eastAsia="x-none"/>
        </w:rPr>
        <w:t>“</w:t>
      </w:r>
      <w:r w:rsidR="00D10C90">
        <w:rPr>
          <w:rFonts w:ascii="Palatino Linotype" w:hAnsi="Palatino Linotype" w:cs="Tahoma"/>
          <w:b/>
          <w:bCs/>
          <w:lang w:eastAsia="x-none"/>
        </w:rPr>
        <w:t>Σ</w:t>
      </w:r>
      <w:r w:rsidR="00D10C90" w:rsidRPr="00D10C90">
        <w:rPr>
          <w:rFonts w:ascii="Palatino Linotype" w:hAnsi="Palatino Linotype" w:cs="Tahoma"/>
          <w:b/>
          <w:bCs/>
          <w:lang w:eastAsia="x-none"/>
        </w:rPr>
        <w:t xml:space="preserve">χέδιο ανακοίνωσης της ΣΕΣΣΕ με θέμα «ΑΜΟΙΒΗ ΔΙΑΧΕΙΡΙΣΤΙΚΩΝ </w:t>
      </w:r>
      <w:r w:rsidR="00D10C90" w:rsidRPr="00D10C90">
        <w:rPr>
          <w:rFonts w:ascii="Palatino Linotype" w:hAnsi="Palatino Linotype" w:cs="Tahoma"/>
          <w:b/>
          <w:bCs/>
          <w:lang w:eastAsia="x-none"/>
        </w:rPr>
        <w:t>Ε</w:t>
      </w:r>
      <w:r w:rsidR="00D10C90" w:rsidRPr="00D10C90">
        <w:rPr>
          <w:rFonts w:ascii="Palatino Linotype" w:hAnsi="Palatino Linotype" w:cs="Tahoma"/>
          <w:b/>
          <w:bCs/>
          <w:lang w:eastAsia="x-none"/>
        </w:rPr>
        <w:t>ΝΕΡΓΕΙΩΝ ΤΩΝ ΣΥΜΒΟΛΑΙΟΓΡΑΦΩΝ» προς συζήτηση</w:t>
      </w:r>
      <w:r w:rsidR="003C1AC2" w:rsidRPr="003C1AC2">
        <w:rPr>
          <w:rFonts w:ascii="Palatino Linotype" w:hAnsi="Palatino Linotype" w:cs="Tahoma"/>
          <w:b/>
          <w:bCs/>
          <w:lang w:eastAsia="x-none"/>
        </w:rPr>
        <w:t>”</w:t>
      </w:r>
    </w:p>
    <w:p w14:paraId="55DF1BE0" w14:textId="77777777" w:rsidR="00152045" w:rsidRPr="00333BEF" w:rsidRDefault="00152045" w:rsidP="00D8035C">
      <w:pPr>
        <w:spacing w:before="120" w:after="120" w:line="360" w:lineRule="auto"/>
        <w:jc w:val="both"/>
        <w:rPr>
          <w:rFonts w:ascii="Palatino Linotype" w:hAnsi="Palatino Linotype" w:cs="Tahoma"/>
          <w:lang w:eastAsia="x-none"/>
        </w:rPr>
      </w:pPr>
    </w:p>
    <w:p w14:paraId="12209D3B" w14:textId="2245D05C" w:rsidR="00F84555" w:rsidRDefault="00D42AE5" w:rsidP="00D8035C">
      <w:pPr>
        <w:spacing w:before="120" w:after="120" w:line="360" w:lineRule="auto"/>
        <w:jc w:val="both"/>
        <w:rPr>
          <w:rFonts w:ascii="Palatino Linotype" w:hAnsi="Palatino Linotype" w:cs="Tahoma"/>
          <w:lang w:eastAsia="x-none"/>
        </w:rPr>
      </w:pPr>
      <w:bookmarkStart w:id="1" w:name="_Hlk66106515"/>
      <w:r w:rsidRPr="00333BEF">
        <w:rPr>
          <w:rFonts w:ascii="Palatino Linotype" w:hAnsi="Palatino Linotype" w:cs="Tahoma"/>
          <w:lang w:eastAsia="x-none"/>
        </w:rPr>
        <w:t>Κυρίες και κύριοι Συνάδελφοι,</w:t>
      </w:r>
    </w:p>
    <w:bookmarkEnd w:id="1"/>
    <w:p w14:paraId="4A019C2D" w14:textId="2A7EAAE5" w:rsidR="00F84555" w:rsidRDefault="00F84555" w:rsidP="00D8035C">
      <w:pPr>
        <w:spacing w:before="120" w:after="120" w:line="360" w:lineRule="auto"/>
        <w:jc w:val="both"/>
        <w:rPr>
          <w:rFonts w:ascii="Palatino Linotype" w:hAnsi="Palatino Linotype" w:cs="Tahoma"/>
          <w:lang w:eastAsia="x-none"/>
        </w:rPr>
      </w:pPr>
      <w:r>
        <w:rPr>
          <w:rFonts w:ascii="Palatino Linotype" w:hAnsi="Palatino Linotype" w:cs="Tahoma"/>
          <w:lang w:eastAsia="x-none"/>
        </w:rPr>
        <w:t>Σας κοινοποιώ σχέδιο ανακοίνωσης της ΣΕΣΣΕ με θέμα «</w:t>
      </w:r>
      <w:r w:rsidRPr="00F84555">
        <w:rPr>
          <w:rFonts w:ascii="Palatino Linotype" w:hAnsi="Palatino Linotype" w:cs="Tahoma"/>
          <w:lang w:eastAsia="x-none"/>
        </w:rPr>
        <w:t>ΑΜΟΙΒΗ ΔΙΑΧΕΙΡΙΣΤΙΚΩΝ ΕΝΕΡΓΕΙΩΝ ΤΩΝ ΣΥΜΒΟΛΑΙΟΓΡΑΦΩΝ</w:t>
      </w:r>
      <w:r>
        <w:rPr>
          <w:rFonts w:ascii="Palatino Linotype" w:hAnsi="Palatino Linotype" w:cs="Tahoma"/>
          <w:lang w:eastAsia="x-none"/>
        </w:rPr>
        <w:t>» προς συζήτηση</w:t>
      </w:r>
      <w:r w:rsidR="003C1AC2">
        <w:rPr>
          <w:rFonts w:ascii="Palatino Linotype" w:hAnsi="Palatino Linotype" w:cs="Tahoma"/>
          <w:lang w:eastAsia="x-none"/>
        </w:rPr>
        <w:t xml:space="preserve"> και λήψη απόφασης</w:t>
      </w:r>
      <w:r>
        <w:rPr>
          <w:rFonts w:ascii="Palatino Linotype" w:hAnsi="Palatino Linotype" w:cs="Tahoma"/>
          <w:lang w:eastAsia="x-none"/>
        </w:rPr>
        <w:t>.</w:t>
      </w:r>
    </w:p>
    <w:p w14:paraId="15A08091" w14:textId="77777777" w:rsidR="00F84555" w:rsidRDefault="00F84555" w:rsidP="00F84555">
      <w:pPr>
        <w:spacing w:before="120" w:after="120" w:line="360" w:lineRule="auto"/>
        <w:jc w:val="center"/>
        <w:rPr>
          <w:b/>
          <w:bCs/>
          <w:sz w:val="24"/>
          <w:szCs w:val="24"/>
        </w:rPr>
      </w:pPr>
    </w:p>
    <w:p w14:paraId="70D2171F" w14:textId="0562F81D" w:rsidR="00F84555" w:rsidRPr="00F84555" w:rsidRDefault="00F84555" w:rsidP="00F84555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Θέμα: «Α</w:t>
      </w:r>
      <w:r w:rsidRPr="00F84555">
        <w:rPr>
          <w:rFonts w:ascii="Palatino Linotype" w:hAnsi="Palatino Linotype"/>
          <w:b/>
          <w:bCs/>
          <w:sz w:val="24"/>
          <w:szCs w:val="24"/>
        </w:rPr>
        <w:t>μοιβή διαχειριστικών ενεργειών των συμβολαιογράφων</w:t>
      </w:r>
      <w:r>
        <w:rPr>
          <w:rFonts w:ascii="Palatino Linotype" w:hAnsi="Palatino Linotype"/>
          <w:b/>
          <w:bCs/>
          <w:sz w:val="24"/>
          <w:szCs w:val="24"/>
        </w:rPr>
        <w:t>»</w:t>
      </w:r>
    </w:p>
    <w:p w14:paraId="7EA9B39E" w14:textId="5E0903EF" w:rsidR="00F84555" w:rsidRPr="00F84555" w:rsidRDefault="00F84555" w:rsidP="00F84555">
      <w:pPr>
        <w:shd w:val="clear" w:color="auto" w:fill="D9D9D9" w:themeFill="background1" w:themeFillShade="D9"/>
        <w:spacing w:before="120" w:after="120" w:line="360" w:lineRule="auto"/>
        <w:ind w:firstLine="72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F84555">
        <w:rPr>
          <w:rFonts w:ascii="Palatino Linotype" w:hAnsi="Palatino Linotype" w:cs="Tahoma"/>
          <w:sz w:val="24"/>
          <w:szCs w:val="24"/>
          <w:lang w:eastAsia="x-none"/>
        </w:rPr>
        <w:t>Κυρίες και κύριοι Συνάδελφοι,</w:t>
      </w:r>
    </w:p>
    <w:p w14:paraId="6622FBED" w14:textId="195A1F40" w:rsidR="00F84555" w:rsidRPr="00F84555" w:rsidRDefault="00F84555" w:rsidP="00F84555">
      <w:pPr>
        <w:shd w:val="clear" w:color="auto" w:fill="D9D9D9" w:themeFill="background1" w:themeFillShade="D9"/>
        <w:spacing w:before="120" w:after="120"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F84555">
        <w:rPr>
          <w:rFonts w:ascii="Palatino Linotype" w:hAnsi="Palatino Linotype"/>
          <w:sz w:val="24"/>
          <w:szCs w:val="24"/>
        </w:rPr>
        <w:t xml:space="preserve">Τα δικαιώματα (αμοιβές) των Συμβολαιογράφων ρυθμίζονται ειδικώς στο άρ.40 Ν.2830/2000 (Κώδικας Συμβολαιογράφων) σε συνδυασμό με τις Κοινές Αποφάσεις </w:t>
      </w:r>
      <w:bookmarkStart w:id="2" w:name="_Hlk24901552"/>
      <w:r w:rsidRPr="00F84555">
        <w:rPr>
          <w:rFonts w:ascii="Palatino Linotype" w:hAnsi="Palatino Linotype"/>
          <w:sz w:val="24"/>
          <w:szCs w:val="24"/>
        </w:rPr>
        <w:t>των Υπουργών Εθνικής Οικονομίας, Δικαιοσύνης και Οικονομικών</w:t>
      </w:r>
      <w:bookmarkEnd w:id="2"/>
      <w:r w:rsidRPr="00F84555">
        <w:rPr>
          <w:rFonts w:ascii="Palatino Linotype" w:hAnsi="Palatino Linotype"/>
          <w:sz w:val="24"/>
          <w:szCs w:val="24"/>
        </w:rPr>
        <w:t>, μετά γνώμη της Συντονιστικής Επιτροπής Συμβολαιογραφικών Συλλόγων Ε</w:t>
      </w:r>
      <w:r w:rsidRPr="00F84555">
        <w:rPr>
          <w:rFonts w:ascii="Palatino Linotype" w:hAnsi="Palatino Linotype"/>
          <w:sz w:val="24"/>
          <w:szCs w:val="24"/>
        </w:rPr>
        <w:t>λ</w:t>
      </w:r>
      <w:r w:rsidRPr="00F84555">
        <w:rPr>
          <w:rFonts w:ascii="Palatino Linotype" w:hAnsi="Palatino Linotype"/>
          <w:sz w:val="24"/>
          <w:szCs w:val="24"/>
        </w:rPr>
        <w:t xml:space="preserve">λάδας για τον καθορισμό δικαιωμάτων Συμβολαιογράφων που προβλέπονται στην παρ. 1 του ανωτέρω άρθρου και της κατ’ εξουσιοδότηση του </w:t>
      </w:r>
      <w:proofErr w:type="spellStart"/>
      <w:r w:rsidRPr="00F84555">
        <w:rPr>
          <w:rFonts w:ascii="Palatino Linotype" w:hAnsi="Palatino Linotype"/>
          <w:sz w:val="24"/>
          <w:szCs w:val="24"/>
        </w:rPr>
        <w:t>εδ</w:t>
      </w:r>
      <w:proofErr w:type="spellEnd"/>
      <w:r w:rsidRPr="00F84555">
        <w:rPr>
          <w:rFonts w:ascii="Palatino Linotype" w:hAnsi="Palatino Linotype"/>
          <w:sz w:val="24"/>
          <w:szCs w:val="24"/>
        </w:rPr>
        <w:t>. γ΄ του α</w:t>
      </w:r>
      <w:r w:rsidRPr="00F84555">
        <w:rPr>
          <w:rFonts w:ascii="Palatino Linotype" w:hAnsi="Palatino Linotype"/>
          <w:sz w:val="24"/>
          <w:szCs w:val="24"/>
        </w:rPr>
        <w:t>υ</w:t>
      </w:r>
      <w:r w:rsidRPr="00F84555">
        <w:rPr>
          <w:rFonts w:ascii="Palatino Linotype" w:hAnsi="Palatino Linotype"/>
          <w:sz w:val="24"/>
          <w:szCs w:val="24"/>
        </w:rPr>
        <w:t>τού ως άνω άρθρου, εκδόθηκαν οι κάτωθι Κοινές Υπουργικές Αποφάσεις των Υπουργών Εθνικής Οικονομίας, Δικαιοσύνης και Οικονομικών.</w:t>
      </w:r>
    </w:p>
    <w:p w14:paraId="7A1C9826" w14:textId="77777777" w:rsidR="00F84555" w:rsidRPr="00F84555" w:rsidRDefault="00F84555" w:rsidP="00F84555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Palatino Linotype" w:hAnsi="Palatino Linotype"/>
          <w:sz w:val="24"/>
          <w:szCs w:val="24"/>
        </w:rPr>
      </w:pPr>
      <w:r w:rsidRPr="00F84555">
        <w:rPr>
          <w:rFonts w:ascii="Palatino Linotype" w:hAnsi="Palatino Linotype"/>
          <w:sz w:val="24"/>
          <w:szCs w:val="24"/>
        </w:rPr>
        <w:lastRenderedPageBreak/>
        <w:t>Οι ανωτέρω αμοιβές καθορίζονται με τον συγκεκριμένο τρόπο λαμβάνοντας υπόψη τη θεσμική λειτουργία του συμβολαιογράφου που ο ίδιος ο νόμος επ</w:t>
      </w:r>
      <w:r w:rsidRPr="00F84555">
        <w:rPr>
          <w:rFonts w:ascii="Palatino Linotype" w:hAnsi="Palatino Linotype"/>
          <w:sz w:val="24"/>
          <w:szCs w:val="24"/>
        </w:rPr>
        <w:t>ι</w:t>
      </w:r>
      <w:r w:rsidRPr="00F84555">
        <w:rPr>
          <w:rFonts w:ascii="Palatino Linotype" w:hAnsi="Palatino Linotype"/>
          <w:sz w:val="24"/>
          <w:szCs w:val="24"/>
        </w:rPr>
        <w:t>βάλλει αλλά και την ανάγκη βιοπορισμού του ασκούντος καθήκοντα συμβολα</w:t>
      </w:r>
      <w:r w:rsidRPr="00F84555">
        <w:rPr>
          <w:rFonts w:ascii="Palatino Linotype" w:hAnsi="Palatino Linotype"/>
          <w:sz w:val="24"/>
          <w:szCs w:val="24"/>
        </w:rPr>
        <w:t>ι</w:t>
      </w:r>
      <w:r w:rsidRPr="00F84555">
        <w:rPr>
          <w:rFonts w:ascii="Palatino Linotype" w:hAnsi="Palatino Linotype"/>
          <w:sz w:val="24"/>
          <w:szCs w:val="24"/>
        </w:rPr>
        <w:t xml:space="preserve">ογράφου. Συνεπώς, η Πολιτεία με το ανωτέρω πλαίσιο αμοιβών επιχειρεί να </w:t>
      </w:r>
      <w:r w:rsidRPr="00F84555">
        <w:rPr>
          <w:rFonts w:ascii="Palatino Linotype" w:hAnsi="Palatino Linotype"/>
          <w:sz w:val="24"/>
          <w:szCs w:val="24"/>
        </w:rPr>
        <w:t>ι</w:t>
      </w:r>
      <w:r w:rsidRPr="00F84555">
        <w:rPr>
          <w:rFonts w:ascii="Palatino Linotype" w:hAnsi="Palatino Linotype"/>
          <w:sz w:val="24"/>
          <w:szCs w:val="24"/>
        </w:rPr>
        <w:t>σορροπήσει ανάμεσα στη λειτουργία του συμβολαιογράφου ως αμίσθου δημ</w:t>
      </w:r>
      <w:r w:rsidRPr="00F84555">
        <w:rPr>
          <w:rFonts w:ascii="Palatino Linotype" w:hAnsi="Palatino Linotype"/>
          <w:sz w:val="24"/>
          <w:szCs w:val="24"/>
        </w:rPr>
        <w:t>ο</w:t>
      </w:r>
      <w:r w:rsidRPr="00F84555">
        <w:rPr>
          <w:rFonts w:ascii="Palatino Linotype" w:hAnsi="Palatino Linotype"/>
          <w:sz w:val="24"/>
          <w:szCs w:val="24"/>
        </w:rPr>
        <w:t xml:space="preserve">σίου λειτουργού και την παροχή αμοιβής – αποζημίωσης για την παροχή των εκ του νόμου προβλεπόμενων υπηρεσιών ικανής για την αξιοπρεπή διαβίωσή του κατ’ αντιστοιχία του θεσμικού του ρόλου. </w:t>
      </w:r>
    </w:p>
    <w:p w14:paraId="3605D1F5" w14:textId="77777777" w:rsidR="00F84555" w:rsidRPr="00F84555" w:rsidRDefault="00F84555" w:rsidP="00F84555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Palatino Linotype" w:hAnsi="Palatino Linotype"/>
          <w:sz w:val="24"/>
          <w:szCs w:val="24"/>
        </w:rPr>
      </w:pPr>
      <w:r w:rsidRPr="00F84555">
        <w:rPr>
          <w:rFonts w:ascii="Palatino Linotype" w:hAnsi="Palatino Linotype"/>
          <w:sz w:val="24"/>
          <w:szCs w:val="24"/>
        </w:rPr>
        <w:t>Με την πάροδο των ετών ο συμβολαιογράφος προβαίνει σε ενέργειες διαχειρ</w:t>
      </w:r>
      <w:r w:rsidRPr="00F84555">
        <w:rPr>
          <w:rFonts w:ascii="Palatino Linotype" w:hAnsi="Palatino Linotype"/>
          <w:sz w:val="24"/>
          <w:szCs w:val="24"/>
        </w:rPr>
        <w:t>ι</w:t>
      </w:r>
      <w:r w:rsidRPr="00F84555">
        <w:rPr>
          <w:rFonts w:ascii="Palatino Linotype" w:hAnsi="Palatino Linotype"/>
          <w:sz w:val="24"/>
          <w:szCs w:val="24"/>
        </w:rPr>
        <w:t>στικές, μη σχετιζόμενες με την σύνταξη του συμβολαίου, που πραγματοποιο</w:t>
      </w:r>
      <w:r w:rsidRPr="00F84555">
        <w:rPr>
          <w:rFonts w:ascii="Palatino Linotype" w:hAnsi="Palatino Linotype"/>
          <w:sz w:val="24"/>
          <w:szCs w:val="24"/>
        </w:rPr>
        <w:t>ύ</w:t>
      </w:r>
      <w:r w:rsidRPr="00F84555">
        <w:rPr>
          <w:rFonts w:ascii="Palatino Linotype" w:hAnsi="Palatino Linotype"/>
          <w:sz w:val="24"/>
          <w:szCs w:val="24"/>
        </w:rPr>
        <w:t>νται είτε κατ’ εντολή και προς εξυπηρέτηση του συναλλασσόμενου (επί παρ</w:t>
      </w:r>
      <w:r w:rsidRPr="00F84555">
        <w:rPr>
          <w:rFonts w:ascii="Palatino Linotype" w:hAnsi="Palatino Linotype"/>
          <w:sz w:val="24"/>
          <w:szCs w:val="24"/>
        </w:rPr>
        <w:t>α</w:t>
      </w:r>
      <w:r w:rsidRPr="00F84555">
        <w:rPr>
          <w:rFonts w:ascii="Palatino Linotype" w:hAnsi="Palatino Linotype"/>
          <w:sz w:val="24"/>
          <w:szCs w:val="24"/>
        </w:rPr>
        <w:t>δείγματι η ηλεκτρονική άντληση πιστοποιητικών ΕΝΦΙΑ, ΤΑΠ, φορολογικής και ασφαλιστικής ενημερότητας, επίσκεψη στην αρμόδια ΔΟΥ και κατάθεση του ΦΜΑ στο Κεφάλαιο, λήψη ασφαλιστικής ενημερότητας από την αρμόδια Υπ</w:t>
      </w:r>
      <w:r w:rsidRPr="00F84555">
        <w:rPr>
          <w:rFonts w:ascii="Palatino Linotype" w:hAnsi="Palatino Linotype"/>
          <w:sz w:val="24"/>
          <w:szCs w:val="24"/>
        </w:rPr>
        <w:t>η</w:t>
      </w:r>
      <w:r w:rsidRPr="00F84555">
        <w:rPr>
          <w:rFonts w:ascii="Palatino Linotype" w:hAnsi="Palatino Linotype"/>
          <w:sz w:val="24"/>
          <w:szCs w:val="24"/>
        </w:rPr>
        <w:t>ρεσία του ΕΦΚΑ – πρώην ΙΚΑ του ακινήτου, κλπ) είτε κατ’ εντολή και πρόβλεψη του νόμου. Στην δεύτερη αυτή περίπτωση τελευταία παραδείγματα αποτελούν τα οριζόμενα στην περ. γ) της παρ.1 του άρ.25 ν.4611/2020 όπως τροποποιήθηκε και ισχύει με το άρ.41 ν.4756/2020 (Α΄235) που αφορά στο αποδεικτικό ασφαλ</w:t>
      </w:r>
      <w:r w:rsidRPr="00F84555">
        <w:rPr>
          <w:rFonts w:ascii="Palatino Linotype" w:hAnsi="Palatino Linotype"/>
          <w:sz w:val="24"/>
          <w:szCs w:val="24"/>
        </w:rPr>
        <w:t>ι</w:t>
      </w:r>
      <w:r w:rsidRPr="00F84555">
        <w:rPr>
          <w:rFonts w:ascii="Palatino Linotype" w:hAnsi="Palatino Linotype"/>
          <w:sz w:val="24"/>
          <w:szCs w:val="24"/>
        </w:rPr>
        <w:t>στικής ενημερότητας για μεταβίβαση ακινήτου ή σύσταση εμπράγματου δ</w:t>
      </w:r>
      <w:r w:rsidRPr="00F84555">
        <w:rPr>
          <w:rFonts w:ascii="Palatino Linotype" w:hAnsi="Palatino Linotype"/>
          <w:sz w:val="24"/>
          <w:szCs w:val="24"/>
        </w:rPr>
        <w:t>ι</w:t>
      </w:r>
      <w:r w:rsidRPr="00F84555">
        <w:rPr>
          <w:rFonts w:ascii="Palatino Linotype" w:hAnsi="Palatino Linotype"/>
          <w:sz w:val="24"/>
          <w:szCs w:val="24"/>
        </w:rPr>
        <w:t>καιώματος, όπου ορίζεται ότι «στις περιπτώσεις που το τίμημα από τη μεταβ</w:t>
      </w:r>
      <w:r w:rsidRPr="00F84555">
        <w:rPr>
          <w:rFonts w:ascii="Palatino Linotype" w:hAnsi="Palatino Linotype"/>
          <w:sz w:val="24"/>
          <w:szCs w:val="24"/>
        </w:rPr>
        <w:t>ί</w:t>
      </w:r>
      <w:r w:rsidRPr="00F84555">
        <w:rPr>
          <w:rFonts w:ascii="Palatino Linotype" w:hAnsi="Palatino Linotype"/>
          <w:sz w:val="24"/>
          <w:szCs w:val="24"/>
        </w:rPr>
        <w:t>βαση ακινήτου δεν υπολείπεται της αντικειμενικής αξίας αυτού και δεν επαρκεί για την ολοσχερή εξόφληση του αναγραφόμενου ποσού στις Βεβαιώσεις Οφε</w:t>
      </w:r>
      <w:r w:rsidRPr="00F84555">
        <w:rPr>
          <w:rFonts w:ascii="Palatino Linotype" w:hAnsi="Palatino Linotype"/>
          <w:sz w:val="24"/>
          <w:szCs w:val="24"/>
        </w:rPr>
        <w:t>ι</w:t>
      </w:r>
      <w:r w:rsidRPr="00F84555">
        <w:rPr>
          <w:rFonts w:ascii="Palatino Linotype" w:hAnsi="Palatino Linotype"/>
          <w:sz w:val="24"/>
          <w:szCs w:val="24"/>
        </w:rPr>
        <w:t>λής προς τη ΔΟΥ και τους φορείς κοινωνικής ασφάλισης, από αυτό ικανοποιο</w:t>
      </w:r>
      <w:r w:rsidRPr="00F84555">
        <w:rPr>
          <w:rFonts w:ascii="Palatino Linotype" w:hAnsi="Palatino Linotype"/>
          <w:sz w:val="24"/>
          <w:szCs w:val="24"/>
        </w:rPr>
        <w:t>ύ</w:t>
      </w:r>
      <w:r w:rsidRPr="00F84555">
        <w:rPr>
          <w:rFonts w:ascii="Palatino Linotype" w:hAnsi="Palatino Linotype"/>
          <w:sz w:val="24"/>
          <w:szCs w:val="24"/>
        </w:rPr>
        <w:t>νται συμμέτρως οι απαιτήσεις της Φορολογικής Διοίκησης με τις απαιτήσεις του e-ΕΦΚΑ, μετά την ολοσχερή εξόφληση των φόρων κληρονομιάς, δωρεάς, γον</w:t>
      </w:r>
      <w:r w:rsidRPr="00F84555">
        <w:rPr>
          <w:rFonts w:ascii="Palatino Linotype" w:hAnsi="Palatino Linotype"/>
          <w:sz w:val="24"/>
          <w:szCs w:val="24"/>
        </w:rPr>
        <w:t>ι</w:t>
      </w:r>
      <w:r w:rsidRPr="00F84555">
        <w:rPr>
          <w:rFonts w:ascii="Palatino Linotype" w:hAnsi="Palatino Linotype"/>
          <w:sz w:val="24"/>
          <w:szCs w:val="24"/>
        </w:rPr>
        <w:t xml:space="preserve">κής παροχής και ΕΝ.Φ.Ι.Α. και τη χορήγηση των πιστοποιητικών του άρθρου 105 του Κώδικα διατάξεων φορολογίας κληρονομιών, δωρεών, γονικών παροχών και κερδών από τυχερά παίγνια, ο οποίος κυρώθηκε με το πρώτο άρθρο του ν. 2961/2001 (Α΄ 266) και του άρθρου 54Α του ν. 4174/2013 (Α΄ 170)». Όπως επίσης, οι </w:t>
      </w:r>
      <w:r w:rsidRPr="00F84555">
        <w:rPr>
          <w:rFonts w:ascii="Palatino Linotype" w:hAnsi="Palatino Linotype"/>
          <w:sz w:val="24"/>
          <w:szCs w:val="24"/>
        </w:rPr>
        <w:lastRenderedPageBreak/>
        <w:t>ρυθμίσεις του άρθρου 8 της υπ’ αριθ. Α.1008/18.01.2021 απόφασης του Διοικητή της ΑΑΔΕ με τίτλο «Πιστοποιητικό του άρθρου 54 Α΄ του ν. 4174/2013 (πιστοπο</w:t>
      </w:r>
      <w:r w:rsidRPr="00F84555">
        <w:rPr>
          <w:rFonts w:ascii="Palatino Linotype" w:hAnsi="Palatino Linotype"/>
          <w:sz w:val="24"/>
          <w:szCs w:val="24"/>
        </w:rPr>
        <w:t>ι</w:t>
      </w:r>
      <w:r w:rsidRPr="00F84555">
        <w:rPr>
          <w:rFonts w:ascii="Palatino Linotype" w:hAnsi="Palatino Linotype"/>
          <w:sz w:val="24"/>
          <w:szCs w:val="24"/>
        </w:rPr>
        <w:t xml:space="preserve">ητικό ΕΝ.Φ.Ι.Α.)» (Β΄229). Τέλος, με την τελευταία υπ’ αριθ. </w:t>
      </w:r>
      <w:proofErr w:type="spellStart"/>
      <w:r w:rsidRPr="00F84555">
        <w:rPr>
          <w:rFonts w:ascii="Palatino Linotype" w:hAnsi="Palatino Linotype"/>
          <w:sz w:val="24"/>
          <w:szCs w:val="24"/>
        </w:rPr>
        <w:t>Αριθμ</w:t>
      </w:r>
      <w:proofErr w:type="spellEnd"/>
      <w:r w:rsidRPr="00F84555">
        <w:rPr>
          <w:rFonts w:ascii="Palatino Linotype" w:hAnsi="Palatino Linotype"/>
          <w:sz w:val="24"/>
          <w:szCs w:val="24"/>
        </w:rPr>
        <w:t xml:space="preserve">. Α. 1031/2021 απόφαση του κ. Διοικητή ΑΑΔΕ με θέμα </w:t>
      </w:r>
      <w:r w:rsidRPr="00F84555">
        <w:rPr>
          <w:rFonts w:ascii="Palatino Linotype" w:hAnsi="Palatino Linotype"/>
          <w:i/>
          <w:iCs/>
          <w:sz w:val="24"/>
          <w:szCs w:val="24"/>
        </w:rPr>
        <w:t>“Ηλεκτρονική δήλωση φορολογίας μ</w:t>
      </w:r>
      <w:r w:rsidRPr="00F84555">
        <w:rPr>
          <w:rFonts w:ascii="Palatino Linotype" w:hAnsi="Palatino Linotype"/>
          <w:i/>
          <w:iCs/>
          <w:sz w:val="24"/>
          <w:szCs w:val="24"/>
        </w:rPr>
        <w:t>ε</w:t>
      </w:r>
      <w:r w:rsidRPr="00F84555">
        <w:rPr>
          <w:rFonts w:ascii="Palatino Linotype" w:hAnsi="Palatino Linotype"/>
          <w:i/>
          <w:iCs/>
          <w:sz w:val="24"/>
          <w:szCs w:val="24"/>
        </w:rPr>
        <w:t>ταβίβασης ακινήτων - «Δήλωση Φ.Μ.Α.»”</w:t>
      </w:r>
      <w:r w:rsidRPr="00F84555">
        <w:rPr>
          <w:rFonts w:ascii="Palatino Linotype" w:hAnsi="Palatino Linotype"/>
          <w:sz w:val="24"/>
          <w:szCs w:val="24"/>
        </w:rPr>
        <w:t>, ο συμβολαιογράφος αναλαμβάνει εκ του νόμου το σύνολο των ενεργειών για την ηλεκτρονική καταχώρηση της δ</w:t>
      </w:r>
      <w:r w:rsidRPr="00F84555">
        <w:rPr>
          <w:rFonts w:ascii="Palatino Linotype" w:hAnsi="Palatino Linotype"/>
          <w:sz w:val="24"/>
          <w:szCs w:val="24"/>
        </w:rPr>
        <w:t>ή</w:t>
      </w:r>
      <w:r w:rsidRPr="00F84555">
        <w:rPr>
          <w:rFonts w:ascii="Palatino Linotype" w:hAnsi="Palatino Linotype"/>
          <w:sz w:val="24"/>
          <w:szCs w:val="24"/>
        </w:rPr>
        <w:t>λωσης ΦΜΑ και της απαλλαγής πρώτης κατοικίας, τόσο για τον αγοραστή όσο και για τον πωλητή.</w:t>
      </w:r>
    </w:p>
    <w:p w14:paraId="18546A11" w14:textId="77777777" w:rsidR="00F84555" w:rsidRPr="00F84555" w:rsidRDefault="00F84555" w:rsidP="00F84555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Palatino Linotype" w:hAnsi="Palatino Linotype"/>
          <w:sz w:val="24"/>
          <w:szCs w:val="24"/>
        </w:rPr>
      </w:pPr>
      <w:r w:rsidRPr="00F84555">
        <w:rPr>
          <w:rFonts w:ascii="Palatino Linotype" w:hAnsi="Palatino Linotype"/>
          <w:sz w:val="24"/>
          <w:szCs w:val="24"/>
        </w:rPr>
        <w:t>Με άλλα λόγια ο συμβολαιογράφος μετατρέπεται είτε κατ’ εντολή του συνα</w:t>
      </w:r>
      <w:r w:rsidRPr="00F84555">
        <w:rPr>
          <w:rFonts w:ascii="Palatino Linotype" w:hAnsi="Palatino Linotype"/>
          <w:sz w:val="24"/>
          <w:szCs w:val="24"/>
        </w:rPr>
        <w:t>λ</w:t>
      </w:r>
      <w:r w:rsidRPr="00F84555">
        <w:rPr>
          <w:rFonts w:ascii="Palatino Linotype" w:hAnsi="Palatino Linotype"/>
          <w:sz w:val="24"/>
          <w:szCs w:val="24"/>
        </w:rPr>
        <w:t>λασσόμενου είτε κατ’ εντολή του νόμου σε διεκπεραιωτή των υποθέσεών τους, οι οποίες προκειμένου να διεκπεραιωθούν από τον Συμβολαιογράφο προσηκ</w:t>
      </w:r>
      <w:r w:rsidRPr="00F84555">
        <w:rPr>
          <w:rFonts w:ascii="Palatino Linotype" w:hAnsi="Palatino Linotype"/>
          <w:sz w:val="24"/>
          <w:szCs w:val="24"/>
        </w:rPr>
        <w:t>ό</w:t>
      </w:r>
      <w:r w:rsidRPr="00F84555">
        <w:rPr>
          <w:rFonts w:ascii="Palatino Linotype" w:hAnsi="Palatino Linotype"/>
          <w:sz w:val="24"/>
          <w:szCs w:val="24"/>
        </w:rPr>
        <w:t>ντως και επιτυχώς συνεπάγονται κόστος για αυτόν που μόνον μέσω της κατ</w:t>
      </w:r>
      <w:r w:rsidRPr="00F84555">
        <w:rPr>
          <w:rFonts w:ascii="Palatino Linotype" w:hAnsi="Palatino Linotype"/>
          <w:sz w:val="24"/>
          <w:szCs w:val="24"/>
        </w:rPr>
        <w:t>α</w:t>
      </w:r>
      <w:r w:rsidRPr="00F84555">
        <w:rPr>
          <w:rFonts w:ascii="Palatino Linotype" w:hAnsi="Palatino Linotype"/>
          <w:sz w:val="24"/>
          <w:szCs w:val="24"/>
        </w:rPr>
        <w:t>βολής συγκεκριμένου ποσού ανά ώρα απασχόλησης δύναται να καλυφθεί, κ</w:t>
      </w:r>
      <w:r w:rsidRPr="00F84555">
        <w:rPr>
          <w:rFonts w:ascii="Palatino Linotype" w:hAnsi="Palatino Linotype"/>
          <w:sz w:val="24"/>
          <w:szCs w:val="24"/>
        </w:rPr>
        <w:t>α</w:t>
      </w:r>
      <w:r w:rsidRPr="00F84555">
        <w:rPr>
          <w:rFonts w:ascii="Palatino Linotype" w:hAnsi="Palatino Linotype"/>
          <w:sz w:val="24"/>
          <w:szCs w:val="24"/>
        </w:rPr>
        <w:t xml:space="preserve">θώς δεν προβλέπεται από το νόμο για αυτές νόμιμη αμοιβή πάγια ή αναλογική. </w:t>
      </w:r>
    </w:p>
    <w:p w14:paraId="7975BB48" w14:textId="6E879544" w:rsidR="00F84555" w:rsidRPr="00F84555" w:rsidRDefault="00F84555" w:rsidP="00F84555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Palatino Linotype" w:hAnsi="Palatino Linotype"/>
          <w:sz w:val="24"/>
          <w:szCs w:val="24"/>
        </w:rPr>
      </w:pPr>
      <w:r w:rsidRPr="00F84555">
        <w:rPr>
          <w:rFonts w:ascii="Palatino Linotype" w:hAnsi="Palatino Linotype"/>
          <w:sz w:val="24"/>
          <w:szCs w:val="24"/>
        </w:rPr>
        <w:t>Συνεπώς, προκειμένου να αποζημιωθεί ο Συμβολαιογράφος για τις ανωτέρω κατ’ εντολή του νόμου και προς εξυπηρέτηση του συναλλασσόμενου διαχειρ</w:t>
      </w:r>
      <w:r w:rsidRPr="00F84555">
        <w:rPr>
          <w:rFonts w:ascii="Palatino Linotype" w:hAnsi="Palatino Linotype"/>
          <w:sz w:val="24"/>
          <w:szCs w:val="24"/>
        </w:rPr>
        <w:t>ι</w:t>
      </w:r>
      <w:r w:rsidRPr="00F84555">
        <w:rPr>
          <w:rFonts w:ascii="Palatino Linotype" w:hAnsi="Palatino Linotype"/>
          <w:sz w:val="24"/>
          <w:szCs w:val="24"/>
        </w:rPr>
        <w:t xml:space="preserve">στικές εργασίες καθίσταται αναγκαία η αναλογική εφαρμογή του </w:t>
      </w:r>
      <w:proofErr w:type="spellStart"/>
      <w:r w:rsidRPr="00F84555">
        <w:rPr>
          <w:rFonts w:ascii="Palatino Linotype" w:hAnsi="Palatino Linotype"/>
          <w:sz w:val="24"/>
          <w:szCs w:val="24"/>
        </w:rPr>
        <w:t>εδ</w:t>
      </w:r>
      <w:proofErr w:type="spellEnd"/>
      <w:r w:rsidRPr="00F84555">
        <w:rPr>
          <w:rFonts w:ascii="Palatino Linotype" w:hAnsi="Palatino Linotype"/>
          <w:sz w:val="24"/>
          <w:szCs w:val="24"/>
        </w:rPr>
        <w:t>. α΄ της περ. ζ) του άρ.4 της ΚΥΑ 100692/2009 (Β΄ 1487) για τον καθορισμό των δικαιωμάτων των Συμβολαιογράφων, ήτοι ο Συμβολαιογράφος δικαιούται, σύμφωνα με τα μέχρι σήμερα ισχύοντα, την είσπραξη ορισμένου ποσού ανά ώρα απασχόλησης ως αποζημίωση για την διεκπεραίωση των ανωτέρω εργασιών.</w:t>
      </w:r>
    </w:p>
    <w:p w14:paraId="1E86490C" w14:textId="77777777" w:rsidR="00D8035C" w:rsidRPr="00333BEF" w:rsidRDefault="00D8035C" w:rsidP="00D8035C">
      <w:pPr>
        <w:spacing w:before="120" w:after="120" w:line="360" w:lineRule="auto"/>
        <w:ind w:left="-284"/>
        <w:jc w:val="center"/>
        <w:rPr>
          <w:rFonts w:ascii="Palatino Linotype" w:hAnsi="Palatino Linotype" w:cs="Tahoma"/>
        </w:rPr>
      </w:pPr>
    </w:p>
    <w:p w14:paraId="20AD243B" w14:textId="77777777" w:rsidR="00107A19" w:rsidRPr="00333BEF" w:rsidRDefault="00AC68AB" w:rsidP="00D8035C">
      <w:pPr>
        <w:spacing w:before="120" w:after="120" w:line="360" w:lineRule="auto"/>
        <w:ind w:left="-284"/>
        <w:jc w:val="center"/>
        <w:rPr>
          <w:rFonts w:ascii="Palatino Linotype" w:hAnsi="Palatino Linotype" w:cs="Tahoma"/>
        </w:rPr>
      </w:pPr>
      <w:r w:rsidRPr="00333BEF">
        <w:rPr>
          <w:rFonts w:ascii="Palatino Linotype" w:hAnsi="Palatino Linotype" w:cs="Tahoma"/>
        </w:rPr>
        <w:t>Με τιμή</w:t>
      </w:r>
    </w:p>
    <w:p w14:paraId="2D53C13A" w14:textId="77777777" w:rsidR="00D8035C" w:rsidRPr="00333BEF" w:rsidRDefault="00D8035C" w:rsidP="00D8035C">
      <w:pPr>
        <w:spacing w:before="120" w:after="120" w:line="360" w:lineRule="auto"/>
        <w:ind w:left="-284"/>
        <w:jc w:val="center"/>
        <w:rPr>
          <w:rFonts w:ascii="Palatino Linotype" w:hAnsi="Palatino Linotype"/>
        </w:rPr>
      </w:pPr>
    </w:p>
    <w:p w14:paraId="0128A717" w14:textId="77777777" w:rsidR="00BE15A8" w:rsidRPr="00333BEF" w:rsidRDefault="00AC68AB" w:rsidP="00D8035C">
      <w:pPr>
        <w:spacing w:before="120" w:after="120" w:line="360" w:lineRule="auto"/>
        <w:ind w:left="-284"/>
        <w:jc w:val="center"/>
        <w:rPr>
          <w:rFonts w:ascii="Palatino Linotype" w:hAnsi="Palatino Linotype" w:cs="Tahoma"/>
        </w:rPr>
      </w:pPr>
      <w:r w:rsidRPr="00333BEF">
        <w:rPr>
          <w:rFonts w:ascii="Palatino Linotype" w:hAnsi="Palatino Linotype" w:cs="Tahoma"/>
        </w:rPr>
        <w:t>Ο Πρόεδρος</w:t>
      </w:r>
    </w:p>
    <w:p w14:paraId="0F9EC8BE" w14:textId="77777777" w:rsidR="00547718" w:rsidRPr="00333BEF" w:rsidRDefault="00AC68AB" w:rsidP="00D8035C">
      <w:pPr>
        <w:pStyle w:val="a3"/>
        <w:spacing w:before="120" w:after="120" w:line="360" w:lineRule="auto"/>
        <w:ind w:left="-284"/>
        <w:jc w:val="center"/>
        <w:rPr>
          <w:rFonts w:ascii="Palatino Linotype" w:hAnsi="Palatino Linotype" w:cs="Tahoma"/>
          <w:sz w:val="22"/>
          <w:szCs w:val="22"/>
          <w:lang w:val="el-GR"/>
        </w:rPr>
      </w:pPr>
      <w:r w:rsidRPr="00333BEF">
        <w:rPr>
          <w:rFonts w:ascii="Palatino Linotype" w:hAnsi="Palatino Linotype" w:cs="Tahoma"/>
          <w:sz w:val="22"/>
          <w:szCs w:val="22"/>
        </w:rPr>
        <w:t xml:space="preserve">Γεώργιος </w:t>
      </w:r>
      <w:proofErr w:type="spellStart"/>
      <w:r w:rsidRPr="00333BEF">
        <w:rPr>
          <w:rFonts w:ascii="Palatino Linotype" w:hAnsi="Palatino Linotype" w:cs="Tahoma"/>
          <w:sz w:val="22"/>
          <w:szCs w:val="22"/>
        </w:rPr>
        <w:t>Ρούσκας</w:t>
      </w:r>
      <w:proofErr w:type="spellEnd"/>
    </w:p>
    <w:sectPr w:rsidR="00547718" w:rsidRPr="00333BEF" w:rsidSect="002C19C8">
      <w:pgSz w:w="11906" w:h="16838"/>
      <w:pgMar w:top="1247" w:right="1133" w:bottom="127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F3286" w14:textId="77777777" w:rsidR="00426050" w:rsidRDefault="00426050">
      <w:pPr>
        <w:spacing w:after="0" w:line="240" w:lineRule="auto"/>
      </w:pPr>
      <w:r>
        <w:separator/>
      </w:r>
    </w:p>
  </w:endnote>
  <w:endnote w:type="continuationSeparator" w:id="0">
    <w:p w14:paraId="075771BA" w14:textId="77777777" w:rsidR="00426050" w:rsidRDefault="0042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BD7AA" w14:textId="77777777" w:rsidR="00426050" w:rsidRDefault="00426050">
      <w:pPr>
        <w:spacing w:after="0" w:line="240" w:lineRule="auto"/>
      </w:pPr>
      <w:r>
        <w:separator/>
      </w:r>
    </w:p>
  </w:footnote>
  <w:footnote w:type="continuationSeparator" w:id="0">
    <w:p w14:paraId="2431148E" w14:textId="77777777" w:rsidR="00426050" w:rsidRDefault="00426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AB"/>
    <w:rsid w:val="000027AB"/>
    <w:rsid w:val="00006D5D"/>
    <w:rsid w:val="00011CA2"/>
    <w:rsid w:val="000123C4"/>
    <w:rsid w:val="00037A2B"/>
    <w:rsid w:val="00061B1C"/>
    <w:rsid w:val="00084508"/>
    <w:rsid w:val="00093E9D"/>
    <w:rsid w:val="000A08F9"/>
    <w:rsid w:val="000A7340"/>
    <w:rsid w:val="000D5563"/>
    <w:rsid w:val="000E48CC"/>
    <w:rsid w:val="000F7CC7"/>
    <w:rsid w:val="0010038F"/>
    <w:rsid w:val="00107A19"/>
    <w:rsid w:val="001155A1"/>
    <w:rsid w:val="001162C6"/>
    <w:rsid w:val="00152045"/>
    <w:rsid w:val="0016661B"/>
    <w:rsid w:val="00174A22"/>
    <w:rsid w:val="0018139F"/>
    <w:rsid w:val="001851CD"/>
    <w:rsid w:val="00186D6C"/>
    <w:rsid w:val="00193297"/>
    <w:rsid w:val="001A7302"/>
    <w:rsid w:val="001B2BA1"/>
    <w:rsid w:val="001B4309"/>
    <w:rsid w:val="00241F70"/>
    <w:rsid w:val="00260352"/>
    <w:rsid w:val="002715A0"/>
    <w:rsid w:val="002929EA"/>
    <w:rsid w:val="002946EF"/>
    <w:rsid w:val="002965C5"/>
    <w:rsid w:val="002A0C19"/>
    <w:rsid w:val="002A2186"/>
    <w:rsid w:val="002C19C8"/>
    <w:rsid w:val="002D6ADB"/>
    <w:rsid w:val="002E6B10"/>
    <w:rsid w:val="003003C3"/>
    <w:rsid w:val="0030252B"/>
    <w:rsid w:val="0031532A"/>
    <w:rsid w:val="00333BEF"/>
    <w:rsid w:val="00334DD3"/>
    <w:rsid w:val="003368F1"/>
    <w:rsid w:val="00374EDF"/>
    <w:rsid w:val="00383D87"/>
    <w:rsid w:val="00394913"/>
    <w:rsid w:val="003C1AC2"/>
    <w:rsid w:val="003C4B70"/>
    <w:rsid w:val="003D2CDB"/>
    <w:rsid w:val="003E4C36"/>
    <w:rsid w:val="003F48C4"/>
    <w:rsid w:val="003F7963"/>
    <w:rsid w:val="00426050"/>
    <w:rsid w:val="004334B9"/>
    <w:rsid w:val="00433527"/>
    <w:rsid w:val="00456ED1"/>
    <w:rsid w:val="0046738A"/>
    <w:rsid w:val="00492985"/>
    <w:rsid w:val="00492AD9"/>
    <w:rsid w:val="00492F65"/>
    <w:rsid w:val="004A256A"/>
    <w:rsid w:val="004A6BBE"/>
    <w:rsid w:val="004B6FF1"/>
    <w:rsid w:val="004C0B84"/>
    <w:rsid w:val="004C7B26"/>
    <w:rsid w:val="004F7535"/>
    <w:rsid w:val="00505F1D"/>
    <w:rsid w:val="0051291C"/>
    <w:rsid w:val="00533048"/>
    <w:rsid w:val="00533BC5"/>
    <w:rsid w:val="00535BEF"/>
    <w:rsid w:val="00547550"/>
    <w:rsid w:val="00547718"/>
    <w:rsid w:val="00547D6E"/>
    <w:rsid w:val="005675A6"/>
    <w:rsid w:val="00572D09"/>
    <w:rsid w:val="005A3E59"/>
    <w:rsid w:val="005B0C75"/>
    <w:rsid w:val="005B579E"/>
    <w:rsid w:val="005E49E7"/>
    <w:rsid w:val="00626B8B"/>
    <w:rsid w:val="006308BF"/>
    <w:rsid w:val="006366B5"/>
    <w:rsid w:val="00646D13"/>
    <w:rsid w:val="00660260"/>
    <w:rsid w:val="00660B72"/>
    <w:rsid w:val="00670201"/>
    <w:rsid w:val="006D5177"/>
    <w:rsid w:val="006F0EAB"/>
    <w:rsid w:val="00724A02"/>
    <w:rsid w:val="00746E42"/>
    <w:rsid w:val="00755453"/>
    <w:rsid w:val="00776791"/>
    <w:rsid w:val="007A7DBA"/>
    <w:rsid w:val="007B0C1B"/>
    <w:rsid w:val="007B4C28"/>
    <w:rsid w:val="007E42BC"/>
    <w:rsid w:val="007E4FE5"/>
    <w:rsid w:val="007F7634"/>
    <w:rsid w:val="00813A90"/>
    <w:rsid w:val="008233E1"/>
    <w:rsid w:val="00834584"/>
    <w:rsid w:val="00847C9F"/>
    <w:rsid w:val="00870CC0"/>
    <w:rsid w:val="00876D7C"/>
    <w:rsid w:val="00897C45"/>
    <w:rsid w:val="008B1389"/>
    <w:rsid w:val="008B4438"/>
    <w:rsid w:val="008C09A1"/>
    <w:rsid w:val="00905C80"/>
    <w:rsid w:val="00912057"/>
    <w:rsid w:val="0091700C"/>
    <w:rsid w:val="00945380"/>
    <w:rsid w:val="00946B92"/>
    <w:rsid w:val="00967564"/>
    <w:rsid w:val="00994F76"/>
    <w:rsid w:val="009B3358"/>
    <w:rsid w:val="009B40D2"/>
    <w:rsid w:val="009C1A62"/>
    <w:rsid w:val="009C3081"/>
    <w:rsid w:val="009F4A8F"/>
    <w:rsid w:val="00A173E6"/>
    <w:rsid w:val="00A557EB"/>
    <w:rsid w:val="00A74151"/>
    <w:rsid w:val="00A777AD"/>
    <w:rsid w:val="00A85052"/>
    <w:rsid w:val="00A92000"/>
    <w:rsid w:val="00AB72AD"/>
    <w:rsid w:val="00AC246E"/>
    <w:rsid w:val="00AC68AB"/>
    <w:rsid w:val="00AD5C7E"/>
    <w:rsid w:val="00AE06A4"/>
    <w:rsid w:val="00B078FD"/>
    <w:rsid w:val="00B60AB5"/>
    <w:rsid w:val="00B64543"/>
    <w:rsid w:val="00B938CF"/>
    <w:rsid w:val="00B943D3"/>
    <w:rsid w:val="00BA7850"/>
    <w:rsid w:val="00BB0BB1"/>
    <w:rsid w:val="00BB0BF5"/>
    <w:rsid w:val="00BE0FD7"/>
    <w:rsid w:val="00BE15A8"/>
    <w:rsid w:val="00BE515C"/>
    <w:rsid w:val="00C047C1"/>
    <w:rsid w:val="00C24607"/>
    <w:rsid w:val="00C24DB0"/>
    <w:rsid w:val="00C24F7D"/>
    <w:rsid w:val="00C25260"/>
    <w:rsid w:val="00C27DF7"/>
    <w:rsid w:val="00C37DD3"/>
    <w:rsid w:val="00C43013"/>
    <w:rsid w:val="00C4409D"/>
    <w:rsid w:val="00C51457"/>
    <w:rsid w:val="00C60EF6"/>
    <w:rsid w:val="00C80679"/>
    <w:rsid w:val="00C900CE"/>
    <w:rsid w:val="00CA00CF"/>
    <w:rsid w:val="00CA5022"/>
    <w:rsid w:val="00CB07B7"/>
    <w:rsid w:val="00CC07A8"/>
    <w:rsid w:val="00CC6243"/>
    <w:rsid w:val="00CF004A"/>
    <w:rsid w:val="00CF35E5"/>
    <w:rsid w:val="00D04015"/>
    <w:rsid w:val="00D10C90"/>
    <w:rsid w:val="00D13073"/>
    <w:rsid w:val="00D31A53"/>
    <w:rsid w:val="00D32B50"/>
    <w:rsid w:val="00D42AE5"/>
    <w:rsid w:val="00D473EF"/>
    <w:rsid w:val="00D523AA"/>
    <w:rsid w:val="00D53718"/>
    <w:rsid w:val="00D8035C"/>
    <w:rsid w:val="00D96C24"/>
    <w:rsid w:val="00DB051D"/>
    <w:rsid w:val="00DD6AAA"/>
    <w:rsid w:val="00DE6AA5"/>
    <w:rsid w:val="00E00697"/>
    <w:rsid w:val="00E02674"/>
    <w:rsid w:val="00E054D7"/>
    <w:rsid w:val="00E21143"/>
    <w:rsid w:val="00E21182"/>
    <w:rsid w:val="00E21EAD"/>
    <w:rsid w:val="00E371B1"/>
    <w:rsid w:val="00E414D1"/>
    <w:rsid w:val="00E509B5"/>
    <w:rsid w:val="00E5133A"/>
    <w:rsid w:val="00E72FBB"/>
    <w:rsid w:val="00E76407"/>
    <w:rsid w:val="00E8739E"/>
    <w:rsid w:val="00EA0BE9"/>
    <w:rsid w:val="00EB3A98"/>
    <w:rsid w:val="00ED31AD"/>
    <w:rsid w:val="00ED51FD"/>
    <w:rsid w:val="00EE11D6"/>
    <w:rsid w:val="00EE1E61"/>
    <w:rsid w:val="00F17EDA"/>
    <w:rsid w:val="00F212CC"/>
    <w:rsid w:val="00F2627E"/>
    <w:rsid w:val="00F84555"/>
    <w:rsid w:val="00FA180B"/>
    <w:rsid w:val="00FA59C6"/>
    <w:rsid w:val="00FB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D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AC68A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AC68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-">
    <w:name w:val="Hyperlink"/>
    <w:uiPriority w:val="99"/>
    <w:unhideWhenUsed/>
    <w:rsid w:val="00AC68AB"/>
    <w:rPr>
      <w:color w:val="0000FF"/>
      <w:u w:val="single"/>
    </w:rPr>
  </w:style>
  <w:style w:type="character" w:styleId="a4">
    <w:name w:val="Strong"/>
    <w:uiPriority w:val="22"/>
    <w:qFormat/>
    <w:rsid w:val="00AC68AB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AC68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5"/>
    <w:uiPriority w:val="99"/>
    <w:semiHidden/>
    <w:rsid w:val="00AC68AB"/>
    <w:rPr>
      <w:rFonts w:ascii="Tahoma" w:eastAsia="Calibri" w:hAnsi="Tahoma" w:cs="Tahoma"/>
      <w:sz w:val="16"/>
      <w:szCs w:val="16"/>
    </w:rPr>
  </w:style>
  <w:style w:type="character" w:styleId="-0">
    <w:name w:val="FollowedHyperlink"/>
    <w:uiPriority w:val="99"/>
    <w:semiHidden/>
    <w:unhideWhenUsed/>
    <w:rsid w:val="00011C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AC68A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AC68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-">
    <w:name w:val="Hyperlink"/>
    <w:uiPriority w:val="99"/>
    <w:unhideWhenUsed/>
    <w:rsid w:val="00AC68AB"/>
    <w:rPr>
      <w:color w:val="0000FF"/>
      <w:u w:val="single"/>
    </w:rPr>
  </w:style>
  <w:style w:type="character" w:styleId="a4">
    <w:name w:val="Strong"/>
    <w:uiPriority w:val="22"/>
    <w:qFormat/>
    <w:rsid w:val="00AC68AB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AC68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5"/>
    <w:uiPriority w:val="99"/>
    <w:semiHidden/>
    <w:rsid w:val="00AC68AB"/>
    <w:rPr>
      <w:rFonts w:ascii="Tahoma" w:eastAsia="Calibri" w:hAnsi="Tahoma" w:cs="Tahoma"/>
      <w:sz w:val="16"/>
      <w:szCs w:val="16"/>
    </w:rPr>
  </w:style>
  <w:style w:type="character" w:styleId="-0">
    <w:name w:val="FollowedHyperlink"/>
    <w:uiPriority w:val="99"/>
    <w:semiHidden/>
    <w:unhideWhenUsed/>
    <w:rsid w:val="00011C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07F56-FC8F-4FFB-B63D-D1BECBF0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773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tritos7</dc:creator>
  <cp:lastModifiedBy>tritoselsa</cp:lastModifiedBy>
  <cp:revision>5</cp:revision>
  <cp:lastPrinted>2021-03-08T13:01:00Z</cp:lastPrinted>
  <dcterms:created xsi:type="dcterms:W3CDTF">2021-03-08T13:15:00Z</dcterms:created>
  <dcterms:modified xsi:type="dcterms:W3CDTF">2021-03-08T13:18:00Z</dcterms:modified>
</cp:coreProperties>
</file>